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E9" w:rsidRDefault="00DE2FE9" w:rsidP="003B7EC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E2FE9" w:rsidRDefault="00DE2FE9" w:rsidP="003B7ECD">
      <w:pPr>
        <w:pStyle w:val="ConsPlusNormal"/>
        <w:jc w:val="both"/>
      </w:pPr>
      <w:r>
        <w:t>Республики Беларусь 12 апреля 2017 г. N 8/31954</w:t>
      </w:r>
    </w:p>
    <w:p w:rsidR="00DE2FE9" w:rsidRDefault="00DE2FE9" w:rsidP="003B7EC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E2FE9" w:rsidRDefault="00DE2FE9" w:rsidP="003B7ECD">
      <w:pPr>
        <w:pStyle w:val="ConsPlusTitle"/>
        <w:jc w:val="center"/>
      </w:pPr>
      <w:r>
        <w:t>20 марта 2017 г. N 25</w:t>
      </w:r>
    </w:p>
    <w:p w:rsidR="00DE2FE9" w:rsidRDefault="00DE2FE9" w:rsidP="003B7ECD">
      <w:pPr>
        <w:pStyle w:val="ConsPlusTitle"/>
        <w:jc w:val="center"/>
      </w:pPr>
    </w:p>
    <w:p w:rsidR="00DE2FE9" w:rsidRDefault="00DE2FE9" w:rsidP="003B7ECD">
      <w:pPr>
        <w:pStyle w:val="ConsPlusTitle"/>
        <w:jc w:val="center"/>
      </w:pPr>
      <w:r>
        <w:t>ОБ УСТАНОВЛЕНИИ ПЕРЕЧНЯ НАИБОЛЕЕ ВОСТРЕБОВАННЫХ ЭКОНОМИКОЙ СПЕЦИАЛЬНОСТЕЙ, ПРИ ПОСТУПЛЕНИИ НА КОТОРЫЕ ЗАЧИСЛЯЮТСЯ БЕЗ ВСТУПИТЕЛЬНЫХ ИСПЫТАНИЙ ОТДЕЛЬНЫЕ КАТЕГОРИИ АБИТУРИЕНТОВ</w:t>
      </w:r>
    </w:p>
    <w:p w:rsidR="00DE2FE9" w:rsidRDefault="00DE2FE9" w:rsidP="003B7ECD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F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FE9" w:rsidRDefault="00DE2FE9" w:rsidP="003B7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Минобразования от 14.04.2018 N 23)</w:t>
            </w:r>
          </w:p>
        </w:tc>
      </w:tr>
    </w:tbl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абзацев пятнадцатого</w:t>
        </w:r>
      </w:hyperlink>
      <w:r>
        <w:t xml:space="preserve"> и </w:t>
      </w:r>
      <w:hyperlink r:id="rId6" w:history="1">
        <w:r>
          <w:rPr>
            <w:color w:val="0000FF"/>
          </w:rPr>
          <w:t>шестнадцатого пункта 24</w:t>
        </w:r>
      </w:hyperlink>
      <w:r>
        <w:t xml:space="preserve"> Правил приема лиц для получения высшего образования I ступени, утвержденных Указом Президента Республики Беларусь от 7 февраля 2006 г. N 80 "О правилах приема лиц для получения высшего образования I ступени и среднего специального образования", Министерство образования Республики Беларусь ПОСТАНОВЛЯЕТ:</w:t>
      </w:r>
    </w:p>
    <w:p w:rsidR="00DE2FE9" w:rsidRDefault="00DE2FE9" w:rsidP="003B7E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наиболее востребованных экономикой специальностей, при поступлении на которые зачисляются в учреждения высшего образования Республики Беларусь без вступительных испытаний победители (дипломы I, II, III степени) международных олимпиад (в соответствии с перечнем, утвержденным Министерством образования Республики Беларусь) и республиканской олимпиады по учебным предметам, проведенной Министерством образования Республики Беларусь в учебном году, который завершился в год приема, для которых данный предмет</w:t>
      </w:r>
      <w:proofErr w:type="gramEnd"/>
      <w:r>
        <w:t xml:space="preserve"> </w:t>
      </w:r>
      <w:proofErr w:type="gramStart"/>
      <w:r>
        <w:t>определен вторым предметом профильного испытания, победители (дипломы I, II, III степени) третьего (областного, Минского городского) этапа республиканской олимпиады по учебным предметам, проведенной Министерством образования Республики Беларусь в учебном году, который завершился в год приема, по учебным предметам, перечень которых устанавливается Министерством образования Республики Беларусь, а также лица, имеющие аттестат об общем среднем образовании особого образца с награждением золотой или серебряной</w:t>
      </w:r>
      <w:proofErr w:type="gramEnd"/>
      <w:r>
        <w:t xml:space="preserve"> медалью или имеющие диплом о профессионально-техническом образовании с получением общего среднего образования с отличием, диплом о среднем специальном образовании с отличием, согласно приложению к настоящему постановлению.</w:t>
      </w:r>
    </w:p>
    <w:p w:rsidR="00DE2FE9" w:rsidRDefault="00DE2FE9" w:rsidP="003B7ECD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E2FE9" w:rsidRDefault="00DE2FE9" w:rsidP="003B7EC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E2F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FE9" w:rsidRDefault="00DE2FE9" w:rsidP="003B7EC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FE9" w:rsidRDefault="00DE2FE9" w:rsidP="003B7ECD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nformat"/>
        <w:jc w:val="both"/>
      </w:pPr>
      <w:r>
        <w:t>СОГЛАСОВАНО</w:t>
      </w:r>
    </w:p>
    <w:p w:rsidR="00DE2FE9" w:rsidRDefault="00DE2FE9" w:rsidP="003B7ECD">
      <w:pPr>
        <w:pStyle w:val="ConsPlusNonformat"/>
        <w:jc w:val="both"/>
      </w:pPr>
      <w:r>
        <w:t>Министр экономики</w:t>
      </w:r>
    </w:p>
    <w:p w:rsidR="00DE2FE9" w:rsidRDefault="00DE2FE9" w:rsidP="003B7ECD">
      <w:pPr>
        <w:pStyle w:val="ConsPlusNonformat"/>
        <w:jc w:val="both"/>
      </w:pPr>
      <w:r>
        <w:t>Республики Беларусь</w:t>
      </w:r>
    </w:p>
    <w:p w:rsidR="00DE2FE9" w:rsidRDefault="00DE2FE9" w:rsidP="003B7ECD">
      <w:pPr>
        <w:pStyle w:val="ConsPlusNonformat"/>
        <w:jc w:val="both"/>
      </w:pPr>
      <w:r>
        <w:t xml:space="preserve">          </w:t>
      </w:r>
      <w:proofErr w:type="spellStart"/>
      <w:r>
        <w:t>В.И.Зиновский</w:t>
      </w:r>
      <w:proofErr w:type="spellEnd"/>
    </w:p>
    <w:p w:rsidR="00DE2FE9" w:rsidRDefault="00DE2FE9" w:rsidP="003B7ECD">
      <w:pPr>
        <w:pStyle w:val="ConsPlusNonformat"/>
        <w:jc w:val="both"/>
      </w:pPr>
      <w:r>
        <w:t>17.03.2017</w:t>
      </w:r>
    </w:p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rmal"/>
        <w:jc w:val="both"/>
      </w:pPr>
    </w:p>
    <w:p w:rsidR="003B7ECD" w:rsidRDefault="003B7ECD" w:rsidP="003B7ECD">
      <w:pPr>
        <w:pStyle w:val="ConsPlusNormal"/>
        <w:jc w:val="both"/>
      </w:pPr>
    </w:p>
    <w:p w:rsidR="003B7ECD" w:rsidRDefault="003B7ECD" w:rsidP="003B7ECD">
      <w:pPr>
        <w:pStyle w:val="ConsPlusNormal"/>
        <w:jc w:val="both"/>
      </w:pPr>
    </w:p>
    <w:p w:rsidR="003B7ECD" w:rsidRDefault="003B7ECD" w:rsidP="003B7ECD">
      <w:pPr>
        <w:pStyle w:val="ConsPlusNormal"/>
        <w:jc w:val="both"/>
      </w:pPr>
    </w:p>
    <w:p w:rsidR="003B7ECD" w:rsidRDefault="003B7ECD" w:rsidP="003B7ECD">
      <w:pPr>
        <w:pStyle w:val="ConsPlusNormal"/>
        <w:jc w:val="both"/>
      </w:pPr>
    </w:p>
    <w:p w:rsidR="003B7ECD" w:rsidRDefault="003B7ECD" w:rsidP="003B7ECD">
      <w:pPr>
        <w:pStyle w:val="ConsPlusNormal"/>
        <w:jc w:val="both"/>
      </w:pPr>
    </w:p>
    <w:p w:rsidR="003B7ECD" w:rsidRDefault="003B7ECD" w:rsidP="003B7ECD">
      <w:pPr>
        <w:pStyle w:val="ConsPlusNormal"/>
        <w:jc w:val="both"/>
      </w:pPr>
    </w:p>
    <w:p w:rsidR="003B7ECD" w:rsidRDefault="003B7ECD" w:rsidP="003B7ECD">
      <w:pPr>
        <w:pStyle w:val="ConsPlusNormal"/>
        <w:jc w:val="both"/>
      </w:pPr>
    </w:p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rmal"/>
        <w:jc w:val="right"/>
        <w:outlineLvl w:val="0"/>
      </w:pPr>
      <w:r>
        <w:lastRenderedPageBreak/>
        <w:t>Приложение</w:t>
      </w:r>
    </w:p>
    <w:p w:rsidR="00DE2FE9" w:rsidRDefault="00DE2FE9" w:rsidP="003B7ECD">
      <w:pPr>
        <w:pStyle w:val="ConsPlusNormal"/>
        <w:jc w:val="right"/>
      </w:pPr>
      <w:r>
        <w:t>к постановлению</w:t>
      </w:r>
    </w:p>
    <w:p w:rsidR="00DE2FE9" w:rsidRDefault="00DE2FE9" w:rsidP="003B7ECD">
      <w:pPr>
        <w:pStyle w:val="ConsPlusNormal"/>
        <w:jc w:val="right"/>
      </w:pPr>
      <w:r>
        <w:t>Министерства образования</w:t>
      </w:r>
    </w:p>
    <w:p w:rsidR="00DE2FE9" w:rsidRDefault="00DE2FE9" w:rsidP="003B7ECD">
      <w:pPr>
        <w:pStyle w:val="ConsPlusNormal"/>
        <w:jc w:val="right"/>
      </w:pPr>
      <w:r>
        <w:t>Республики Беларусь</w:t>
      </w:r>
    </w:p>
    <w:p w:rsidR="00DE2FE9" w:rsidRDefault="00DE2FE9" w:rsidP="003B7ECD">
      <w:pPr>
        <w:pStyle w:val="ConsPlusNormal"/>
        <w:jc w:val="right"/>
      </w:pPr>
      <w:r>
        <w:t>20.03.2017 N 25</w:t>
      </w:r>
    </w:p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Title"/>
        <w:jc w:val="center"/>
      </w:pPr>
      <w:bookmarkStart w:id="0" w:name="P33"/>
      <w:bookmarkEnd w:id="0"/>
      <w:r>
        <w:t>ПЕРЕЧЕНЬ</w:t>
      </w:r>
    </w:p>
    <w:p w:rsidR="00DE2FE9" w:rsidRDefault="00DE2FE9" w:rsidP="003B7ECD">
      <w:pPr>
        <w:pStyle w:val="ConsPlusTitle"/>
        <w:jc w:val="center"/>
      </w:pPr>
      <w:proofErr w:type="gramStart"/>
      <w:r>
        <w:t>НАИБОЛЕЕ ВОСТРЕБОВАННЫХ ЭКОНОМИКОЙ СПЕЦИАЛЬНОСТЕЙ, ПРИ ПОСТУПЛЕНИИ НА КОТОРЫЕ ЗАЧИСЛЯЮТСЯ В УЧРЕЖДЕНИЯ ВЫСШЕГО ОБРАЗОВАНИЯ РЕСПУБЛИКИ БЕЛАРУСЬ БЕЗ ВСТУПИТЕЛЬНЫХ ИСПЫТАНИЙ ПОБЕДИТЕЛИ (ДИПЛОМЫ I, II, III СТЕПЕНИ) МЕЖДУНАРОДНЫХ ОЛИМПИАД (В СООТВЕТСТВИИ С ПЕРЕЧНЕМ, УТВЕРЖДЕННЫМ МИНИСТЕРСТВОМ ОБРАЗОВАНИЯ РЕСПУБЛИКИ БЕЛАРУСЬ) И РЕСПУБЛИКАНСКОЙ ОЛИМПИАДЫ ПО УЧЕБНЫМ ПРЕДМЕТАМ, ПРОВЕДЕННОЙ МИНИСТЕРСТВОМ ОБРАЗОВАНИЯ РЕСПУБЛИКИ БЕЛАРУСЬ В УЧЕБНОМ ГОДУ, КОТОРЫЙ ЗАВЕРШИЛСЯ В ГОД ПРИЕМА, ДЛЯ КОТОРЫХ ДАННЫЙ ПРЕДМЕТ ОПРЕДЕЛЕН ВТОРЫМ</w:t>
      </w:r>
      <w:proofErr w:type="gramEnd"/>
      <w:r>
        <w:t xml:space="preserve"> </w:t>
      </w:r>
      <w:proofErr w:type="gramStart"/>
      <w:r>
        <w:t>ПРЕДМЕТОМ ПРОФИЛЬНОГО ИСПЫТАНИЯ, ПОБЕДИТЕЛИ (ДИПЛОМЫ I, II, III СТЕПЕНИ) ТРЕТЬЕГО (ОБЛАСТНОГО, МИНСКОГО ГОРОДСКОГО) ЭТАПА РЕСПУБЛИКАНСКОЙ ОЛИМПИАДЫ ПО УЧЕБНЫМ ПРЕДМЕТАМ, ПРОВЕДЕННОЙ МИНИСТЕРСТВОМ ОБРАЗОВАНИЯ РЕСПУБЛИКИ БЕЛАРУСЬ В УЧЕБНОМ ГОДУ, КОТОРЫЙ ЗАВЕРШИЛСЯ В ГОД ПРИЕМА, ПО УЧЕБНЫМ ПРЕДМЕТАМ, ПЕРЕЧЕНЬ КОТОРЫХ УСТАНАВЛИВАЕТСЯ МИНИСТЕРСТВОМ ОБРАЗОВАНИЯ РЕСПУБЛИКИ БЕЛАРУСЬ, А ТАКЖЕ ЛИЦА, ИМЕЮЩИЕ АТТЕСТАТ ОБ ОБЩЕМ СРЕДНЕМ ОБРАЗОВАНИИ ОСОБОГО ОБРАЗЦА С НАГРАЖДЕНИЕМ ЗОЛОТОЙ ИЛИ СЕРЕБРЯНОЙ МЕДАЛЬЮ ИЛИ</w:t>
      </w:r>
      <w:proofErr w:type="gramEnd"/>
      <w:r>
        <w:t xml:space="preserve"> ИМЕЮЩИЕ ДИПЛОМ О ПРОФЕССИОНАЛЬНО-ТЕХНИЧЕСКОМ ОБРАЗОВАНИИ С ПОЛУЧЕНИЕМ ОБЩЕГО СРЕДНЕГО ОБРАЗОВАНИЯ С ОТЛИЧИЕМ, ДИПЛОМ О СРЕДНЕМ СПЕЦИАЛЬНОМ ОБРАЗОВАНИИ С ОТЛИЧИЕМ</w:t>
      </w:r>
    </w:p>
    <w:p w:rsidR="00DE2FE9" w:rsidRDefault="00DE2FE9" w:rsidP="003B7ECD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2F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2FE9" w:rsidRDefault="00DE2FE9" w:rsidP="003B7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Минобразования от 14.04.2018 N 23)</w:t>
            </w:r>
          </w:p>
        </w:tc>
      </w:tr>
    </w:tbl>
    <w:p w:rsidR="00DE2FE9" w:rsidRDefault="00DE2FE9" w:rsidP="003B7EC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"/>
        <w:gridCol w:w="3540"/>
        <w:gridCol w:w="5246"/>
      </w:tblGrid>
      <w:tr w:rsidR="00DE2FE9" w:rsidTr="003B7ECD">
        <w:tc>
          <w:tcPr>
            <w:tcW w:w="500" w:type="pct"/>
            <w:vAlign w:val="center"/>
          </w:tcPr>
          <w:p w:rsidR="00DE2FE9" w:rsidRDefault="00DE2FE9" w:rsidP="003B7ECD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3" w:type="pct"/>
            <w:vAlign w:val="center"/>
          </w:tcPr>
          <w:p w:rsidR="00DE2FE9" w:rsidRDefault="00DE2FE9" w:rsidP="003B7ECD">
            <w:pPr>
              <w:pStyle w:val="ConsPlusNormal"/>
              <w:jc w:val="center"/>
            </w:pPr>
            <w:r>
              <w:t xml:space="preserve">Код специальности </w:t>
            </w:r>
            <w:hyperlink w:anchor="P1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87" w:type="pct"/>
            <w:vAlign w:val="center"/>
          </w:tcPr>
          <w:p w:rsidR="00DE2FE9" w:rsidRDefault="00DE2FE9" w:rsidP="003B7ECD">
            <w:pPr>
              <w:pStyle w:val="ConsPlusNormal"/>
              <w:jc w:val="center"/>
            </w:pPr>
            <w:r>
              <w:t xml:space="preserve">Наименование специальности </w:t>
            </w:r>
            <w:hyperlink w:anchor="P1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8" w:history="1">
              <w:r w:rsidR="00DE2FE9">
                <w:rPr>
                  <w:color w:val="0000FF"/>
                </w:rPr>
                <w:t>1-02 06 01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Технический труд и предпринимательство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9" w:history="1">
              <w:r w:rsidR="00DE2FE9">
                <w:rPr>
                  <w:color w:val="0000FF"/>
                </w:rPr>
                <w:t>1-02 06 02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Обслуживающий труд и предпринимательство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0" w:history="1">
              <w:r w:rsidR="00DE2FE9">
                <w:rPr>
                  <w:color w:val="0000FF"/>
                </w:rPr>
                <w:t>1-02 06 03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Технический труд и техническое творчество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1" w:history="1">
              <w:r w:rsidR="00DE2FE9">
                <w:rPr>
                  <w:color w:val="0000FF"/>
                </w:rPr>
                <w:t>1-02 06 04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Обслуживающий труд и изобразительное искусство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2" w:history="1">
              <w:r w:rsidR="00DE2FE9">
                <w:rPr>
                  <w:color w:val="0000FF"/>
                </w:rPr>
                <w:t xml:space="preserve">1-08 01 </w:t>
              </w:r>
              <w:proofErr w:type="spellStart"/>
              <w:r w:rsidR="00DE2FE9">
                <w:rPr>
                  <w:color w:val="0000FF"/>
                </w:rPr>
                <w:t>01</w:t>
              </w:r>
              <w:proofErr w:type="spellEnd"/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Профессиональное обучение (по направлениям)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3" w:history="1">
              <w:r w:rsidR="00DE2FE9">
                <w:rPr>
                  <w:color w:val="0000FF"/>
                </w:rPr>
                <w:t>1-36 01 03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Технологическое оборудование машиностроительного производства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4" w:history="1">
              <w:r w:rsidR="00DE2FE9">
                <w:rPr>
                  <w:color w:val="0000FF"/>
                </w:rPr>
                <w:t>1-36 01 04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Оборудование и технологии высокоэффективных процессов обработки материалов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5" w:history="1">
              <w:r w:rsidR="00DE2FE9">
                <w:rPr>
                  <w:color w:val="0000FF"/>
                </w:rPr>
                <w:t>1-36 01 05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Машины и технология обработки материалов давлением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6" w:history="1">
              <w:r w:rsidR="00DE2FE9">
                <w:rPr>
                  <w:color w:val="0000FF"/>
                </w:rPr>
                <w:t>1-36 02 01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Машины и технология литейного производства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7" w:history="1">
              <w:r w:rsidR="00DE2FE9">
                <w:rPr>
                  <w:color w:val="0000FF"/>
                </w:rPr>
                <w:t>1-36 05 01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Машины и оборудование лесного комплекса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8" w:history="1">
              <w:r w:rsidR="00DE2FE9">
                <w:rPr>
                  <w:color w:val="0000FF"/>
                </w:rPr>
                <w:t xml:space="preserve">1-42 01 </w:t>
              </w:r>
              <w:proofErr w:type="spellStart"/>
              <w:r w:rsidR="00DE2FE9">
                <w:rPr>
                  <w:color w:val="0000FF"/>
                </w:rPr>
                <w:t>01</w:t>
              </w:r>
              <w:proofErr w:type="spellEnd"/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(по направлениям)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19" w:history="1">
              <w:r w:rsidR="00DE2FE9">
                <w:rPr>
                  <w:color w:val="0000FF"/>
                </w:rPr>
                <w:t xml:space="preserve">1-46 01 </w:t>
              </w:r>
              <w:proofErr w:type="spellStart"/>
              <w:r w:rsidR="00DE2FE9">
                <w:rPr>
                  <w:color w:val="0000FF"/>
                </w:rPr>
                <w:t>01</w:t>
              </w:r>
              <w:proofErr w:type="spellEnd"/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Лесоинженерное дело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20" w:history="1">
              <w:r w:rsidR="00DE2FE9">
                <w:rPr>
                  <w:color w:val="0000FF"/>
                </w:rPr>
                <w:t>1-48 01 04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Технология электрохимических производств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21" w:history="1">
              <w:r w:rsidR="00DE2FE9">
                <w:rPr>
                  <w:color w:val="0000FF"/>
                </w:rPr>
                <w:t>1-48 01 05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Химическая технология переработки древесины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22" w:history="1">
              <w:r w:rsidR="00DE2FE9">
                <w:rPr>
                  <w:color w:val="0000FF"/>
                </w:rPr>
                <w:t xml:space="preserve">1-50 01 </w:t>
              </w:r>
              <w:proofErr w:type="spellStart"/>
              <w:r w:rsidR="00DE2FE9">
                <w:rPr>
                  <w:color w:val="0000FF"/>
                </w:rPr>
                <w:t>01</w:t>
              </w:r>
              <w:proofErr w:type="spellEnd"/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Производство текстильных материалов (по направлениям)</w:t>
            </w:r>
          </w:p>
        </w:tc>
      </w:tr>
      <w:tr w:rsidR="00DE2FE9" w:rsidTr="003B7ECD">
        <w:tblPrEx>
          <w:tblBorders>
            <w:insideH w:val="nil"/>
          </w:tblBorders>
        </w:tblPrEx>
        <w:tc>
          <w:tcPr>
            <w:tcW w:w="500" w:type="pct"/>
            <w:tcBorders>
              <w:bottom w:val="nil"/>
            </w:tcBorders>
          </w:tcPr>
          <w:p w:rsidR="00DE2FE9" w:rsidRDefault="00DE2FE9" w:rsidP="003B7EC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3" w:type="pct"/>
            <w:tcBorders>
              <w:bottom w:val="nil"/>
            </w:tcBorders>
          </w:tcPr>
          <w:p w:rsidR="00DE2FE9" w:rsidRDefault="00DE2FE9" w:rsidP="003B7ECD">
            <w:pPr>
              <w:pStyle w:val="ConsPlusNormal"/>
            </w:pPr>
            <w:r>
              <w:t>Исключен</w:t>
            </w:r>
          </w:p>
        </w:tc>
        <w:tc>
          <w:tcPr>
            <w:tcW w:w="2687" w:type="pct"/>
            <w:tcBorders>
              <w:bottom w:val="nil"/>
            </w:tcBorders>
          </w:tcPr>
          <w:p w:rsidR="00DE2FE9" w:rsidRDefault="00DE2FE9" w:rsidP="003B7ECD">
            <w:pPr>
              <w:pStyle w:val="ConsPlusNormal"/>
            </w:pPr>
          </w:p>
        </w:tc>
      </w:tr>
      <w:tr w:rsidR="00DE2FE9" w:rsidTr="003B7ECD">
        <w:tblPrEx>
          <w:tblBorders>
            <w:insideH w:val="nil"/>
          </w:tblBorders>
        </w:tblPrEx>
        <w:tc>
          <w:tcPr>
            <w:tcW w:w="5000" w:type="pct"/>
            <w:gridSpan w:val="3"/>
            <w:tcBorders>
              <w:top w:val="nil"/>
            </w:tcBorders>
          </w:tcPr>
          <w:p w:rsidR="00DE2FE9" w:rsidRDefault="00DE2FE9" w:rsidP="003B7ECD">
            <w:pPr>
              <w:pStyle w:val="ConsPlusNormal"/>
              <w:jc w:val="both"/>
            </w:pPr>
            <w:proofErr w:type="gramStart"/>
            <w:r>
              <w:t>(п. 16 исключен.</w:t>
            </w:r>
            <w:proofErr w:type="gramEnd"/>
            <w:r>
              <w:t xml:space="preserve"> - </w:t>
            </w:r>
            <w:hyperlink r:id="rId23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Минобразования от 14.04.2018 N 23)</w:t>
            </w:r>
            <w:proofErr w:type="gramEnd"/>
          </w:p>
        </w:tc>
      </w:tr>
      <w:tr w:rsidR="00DE2FE9" w:rsidTr="003B7ECD">
        <w:tblPrEx>
          <w:tblBorders>
            <w:insideH w:val="nil"/>
          </w:tblBorders>
        </w:tblPrEx>
        <w:tc>
          <w:tcPr>
            <w:tcW w:w="500" w:type="pct"/>
            <w:tcBorders>
              <w:bottom w:val="nil"/>
            </w:tcBorders>
          </w:tcPr>
          <w:p w:rsidR="00DE2FE9" w:rsidRDefault="00DE2FE9" w:rsidP="003B7EC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3" w:type="pct"/>
            <w:tcBorders>
              <w:bottom w:val="nil"/>
            </w:tcBorders>
          </w:tcPr>
          <w:p w:rsidR="00DE2FE9" w:rsidRDefault="00370E5F" w:rsidP="003B7ECD">
            <w:pPr>
              <w:pStyle w:val="ConsPlusNormal"/>
            </w:pPr>
            <w:hyperlink r:id="rId24" w:history="1">
              <w:r w:rsidR="00DE2FE9">
                <w:rPr>
                  <w:color w:val="0000FF"/>
                </w:rPr>
                <w:t>1-50 02 01</w:t>
              </w:r>
            </w:hyperlink>
          </w:p>
        </w:tc>
        <w:tc>
          <w:tcPr>
            <w:tcW w:w="2687" w:type="pct"/>
            <w:tcBorders>
              <w:bottom w:val="nil"/>
            </w:tcBorders>
          </w:tcPr>
          <w:p w:rsidR="00DE2FE9" w:rsidRDefault="00DE2FE9" w:rsidP="003B7ECD">
            <w:pPr>
              <w:pStyle w:val="ConsPlusNormal"/>
            </w:pPr>
            <w:r>
              <w:t>Производство одежды, обуви и кожгалантерейных изделий</w:t>
            </w:r>
          </w:p>
        </w:tc>
      </w:tr>
      <w:tr w:rsidR="00DE2FE9" w:rsidTr="003B7ECD">
        <w:tblPrEx>
          <w:tblBorders>
            <w:insideH w:val="nil"/>
          </w:tblBorders>
        </w:tblPrEx>
        <w:tc>
          <w:tcPr>
            <w:tcW w:w="5000" w:type="pct"/>
            <w:gridSpan w:val="3"/>
            <w:tcBorders>
              <w:top w:val="nil"/>
            </w:tcBorders>
          </w:tcPr>
          <w:p w:rsidR="00DE2FE9" w:rsidRDefault="00DE2FE9" w:rsidP="003B7EC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14.04.2018 N 23)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26" w:history="1">
              <w:r w:rsidR="00DE2FE9">
                <w:rPr>
                  <w:color w:val="0000FF"/>
                </w:rPr>
                <w:t>1-74 02 01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Агрономия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27" w:history="1">
              <w:r w:rsidR="00DE2FE9">
                <w:rPr>
                  <w:color w:val="0000FF"/>
                </w:rPr>
                <w:t xml:space="preserve">1-74 02 </w:t>
              </w:r>
              <w:proofErr w:type="spellStart"/>
              <w:r w:rsidR="00DE2FE9">
                <w:rPr>
                  <w:color w:val="0000FF"/>
                </w:rPr>
                <w:t>02</w:t>
              </w:r>
              <w:proofErr w:type="spellEnd"/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Селекция и семеноводство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28" w:history="1">
              <w:r w:rsidR="00DE2FE9">
                <w:rPr>
                  <w:color w:val="0000FF"/>
                </w:rPr>
                <w:t>1-74 02 03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Защита растений и карантин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29" w:history="1">
              <w:r w:rsidR="00DE2FE9">
                <w:rPr>
                  <w:color w:val="0000FF"/>
                </w:rPr>
                <w:t>1-74 02 04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proofErr w:type="spellStart"/>
            <w:r>
              <w:t>Плодоовощеводство</w:t>
            </w:r>
            <w:proofErr w:type="spellEnd"/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30" w:history="1">
              <w:r w:rsidR="00DE2FE9">
                <w:rPr>
                  <w:color w:val="0000FF"/>
                </w:rPr>
                <w:t>1-74 02 05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Агрохимия и почвоведение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31" w:history="1">
              <w:r w:rsidR="00DE2FE9">
                <w:rPr>
                  <w:color w:val="0000FF"/>
                </w:rPr>
                <w:t>1-74 03 01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Зоотехния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32" w:history="1">
              <w:r w:rsidR="00DE2FE9">
                <w:rPr>
                  <w:color w:val="0000FF"/>
                </w:rPr>
                <w:t>1-74 03 02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Ветеринарная медицина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33" w:history="1">
              <w:r w:rsidR="00DE2FE9">
                <w:rPr>
                  <w:color w:val="0000FF"/>
                </w:rPr>
                <w:t xml:space="preserve">1-74 03 </w:t>
              </w:r>
              <w:proofErr w:type="spellStart"/>
              <w:r w:rsidR="00DE2FE9">
                <w:rPr>
                  <w:color w:val="0000FF"/>
                </w:rPr>
                <w:t>03</w:t>
              </w:r>
              <w:proofErr w:type="spellEnd"/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Промышленное рыбоводство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34" w:history="1">
              <w:r w:rsidR="00DE2FE9">
                <w:rPr>
                  <w:color w:val="0000FF"/>
                </w:rPr>
                <w:t>1-74 05 01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Мелиорация и водное хозяйство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35" w:history="1">
              <w:r w:rsidR="00DE2FE9">
                <w:rPr>
                  <w:color w:val="0000FF"/>
                </w:rPr>
                <w:t>1-74 06 01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Техническое обеспечение процессов сельскохозяйственного производства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36" w:history="1">
              <w:r w:rsidR="00DE2FE9">
                <w:rPr>
                  <w:color w:val="0000FF"/>
                </w:rPr>
                <w:t>1-74 06 03</w:t>
              </w:r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Ремонтно-обслуживающее производство в сельском хозяйстве</w:t>
            </w:r>
          </w:p>
        </w:tc>
      </w:tr>
      <w:tr w:rsidR="00DE2FE9" w:rsidTr="003B7ECD">
        <w:tc>
          <w:tcPr>
            <w:tcW w:w="500" w:type="pct"/>
          </w:tcPr>
          <w:p w:rsidR="00DE2FE9" w:rsidRDefault="00DE2FE9" w:rsidP="003B7EC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3" w:type="pct"/>
          </w:tcPr>
          <w:p w:rsidR="00DE2FE9" w:rsidRDefault="00370E5F" w:rsidP="003B7ECD">
            <w:pPr>
              <w:pStyle w:val="ConsPlusNormal"/>
            </w:pPr>
            <w:hyperlink r:id="rId37" w:history="1">
              <w:r w:rsidR="00DE2FE9">
                <w:rPr>
                  <w:color w:val="0000FF"/>
                </w:rPr>
                <w:t xml:space="preserve">1-75 01 </w:t>
              </w:r>
              <w:proofErr w:type="spellStart"/>
              <w:r w:rsidR="00DE2FE9">
                <w:rPr>
                  <w:color w:val="0000FF"/>
                </w:rPr>
                <w:t>01</w:t>
              </w:r>
              <w:proofErr w:type="spellEnd"/>
            </w:hyperlink>
          </w:p>
        </w:tc>
        <w:tc>
          <w:tcPr>
            <w:tcW w:w="2687" w:type="pct"/>
          </w:tcPr>
          <w:p w:rsidR="00DE2FE9" w:rsidRDefault="00DE2FE9" w:rsidP="003B7ECD">
            <w:pPr>
              <w:pStyle w:val="ConsPlusNormal"/>
            </w:pPr>
            <w:r>
              <w:t>Лесное хозяйство</w:t>
            </w:r>
          </w:p>
        </w:tc>
      </w:tr>
    </w:tbl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rmal"/>
        <w:ind w:firstLine="540"/>
        <w:jc w:val="both"/>
      </w:pPr>
      <w:r>
        <w:t>--------------------------------</w:t>
      </w:r>
    </w:p>
    <w:p w:rsidR="00DE2FE9" w:rsidRDefault="00DE2FE9" w:rsidP="003B7ECD">
      <w:pPr>
        <w:pStyle w:val="ConsPlusNormal"/>
        <w:ind w:firstLine="540"/>
        <w:jc w:val="both"/>
      </w:pPr>
      <w:bookmarkStart w:id="1" w:name="P131"/>
      <w:bookmarkEnd w:id="1"/>
      <w:r>
        <w:t xml:space="preserve">&lt;*&gt; Указывается в соответствии с Общегосударственным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N 36.</w:t>
      </w:r>
    </w:p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rmal"/>
        <w:jc w:val="both"/>
      </w:pPr>
    </w:p>
    <w:p w:rsidR="00DE2FE9" w:rsidRDefault="00DE2FE9" w:rsidP="003B7EC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D4296" w:rsidRDefault="00AD4296" w:rsidP="003B7ECD">
      <w:pPr>
        <w:spacing w:after="0"/>
      </w:pPr>
      <w:bookmarkStart w:id="2" w:name="_GoBack"/>
      <w:bookmarkEnd w:id="2"/>
    </w:p>
    <w:sectPr w:rsidR="00AD4296" w:rsidSect="003B7E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FE9"/>
    <w:rsid w:val="00370E5F"/>
    <w:rsid w:val="003B7ECD"/>
    <w:rsid w:val="00AD4296"/>
    <w:rsid w:val="00D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8FA498EE1BE8E52FD9580FF33D758912A369C29ED3DBF59318598588E3AAE5F5C2AC3C55FEA213A5129EF54gEy0L" TargetMode="External"/><Relationship Id="rId13" Type="http://schemas.openxmlformats.org/officeDocument/2006/relationships/hyperlink" Target="consultantplus://offline/ref=91B8FA498EE1BE8E52FD9580FF33D758912A369C29ED3DBF59318598588E3AAE5F5C2AC3C55FEA213A532CEE55gEy4L" TargetMode="External"/><Relationship Id="rId18" Type="http://schemas.openxmlformats.org/officeDocument/2006/relationships/hyperlink" Target="consultantplus://offline/ref=91B8FA498EE1BE8E52FD9580FF33D758912A369C29ED3DBF59318598588E3AAE5F5C2AC3C55FEA213A532BE855gEy6L" TargetMode="External"/><Relationship Id="rId26" Type="http://schemas.openxmlformats.org/officeDocument/2006/relationships/hyperlink" Target="consultantplus://offline/ref=91B8FA498EE1BE8E52FD9580FF33D758912A369C29ED3DBF59318598588E3AAE5F5C2AC3C55FEA213A5329EB5CgEy5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B8FA498EE1BE8E52FD9580FF33D758912A369C29ED3DBF59318598588E3AAE5F5C2AC3C55FEA213A532BE05CgEy5L" TargetMode="External"/><Relationship Id="rId34" Type="http://schemas.openxmlformats.org/officeDocument/2006/relationships/hyperlink" Target="consultantplus://offline/ref=91B8FA498EE1BE8E52FD9580FF33D758912A369C29ED3DBF59318598588E3AAE5F5C2AC3C55FEA213A5329EC57gEy4L" TargetMode="External"/><Relationship Id="rId7" Type="http://schemas.openxmlformats.org/officeDocument/2006/relationships/hyperlink" Target="consultantplus://offline/ref=91B8FA498EE1BE8E52FD9580FF33D758912A369C29ED3EB95C358198588E3AAE5F5C2AC3C55FEA213A522EE954gEy2L" TargetMode="External"/><Relationship Id="rId12" Type="http://schemas.openxmlformats.org/officeDocument/2006/relationships/hyperlink" Target="consultantplus://offline/ref=91B8FA498EE1BE8E52FD9580FF33D758912A369C29ED3DBF59318598588E3AAE5F5C2AC3C55FEA213A5229E157gEy5L" TargetMode="External"/><Relationship Id="rId17" Type="http://schemas.openxmlformats.org/officeDocument/2006/relationships/hyperlink" Target="consultantplus://offline/ref=91B8FA498EE1BE8E52FD9580FF33D758912A369C29ED3DBF59318598588E3AAE5F5C2AC3C55FEA213A532DE95CgEyEL" TargetMode="External"/><Relationship Id="rId25" Type="http://schemas.openxmlformats.org/officeDocument/2006/relationships/hyperlink" Target="consultantplus://offline/ref=91B8FA498EE1BE8E52FD9580FF33D758912A369C29ED3EB95C358198588E3AAE5F5C2AC3C55FEA213A522EE954gEy0L" TargetMode="External"/><Relationship Id="rId33" Type="http://schemas.openxmlformats.org/officeDocument/2006/relationships/hyperlink" Target="consultantplus://offline/ref=91B8FA498EE1BE8E52FD9580FF33D758912A369C29ED3DBF59318598588E3AAE5F5C2AC3C55FEA213A5329ED5CgEy5L" TargetMode="External"/><Relationship Id="rId38" Type="http://schemas.openxmlformats.org/officeDocument/2006/relationships/hyperlink" Target="consultantplus://offline/ref=91B8FA498EE1BE8E52FD9580FF33D758912A369C29ED3DBF59318598588E3AAE5F5C2AC3C55FEA213A522EE954gEy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8FA498EE1BE8E52FD9580FF33D758912A369C29ED3DBF59318598588E3AAE5F5C2AC3C55FEA213A532CE055gEy0L" TargetMode="External"/><Relationship Id="rId20" Type="http://schemas.openxmlformats.org/officeDocument/2006/relationships/hyperlink" Target="consultantplus://offline/ref=91B8FA498EE1BE8E52FD9580FF33D758912A369C29ED3DBF59318598588E3AAE5F5C2AC3C55FEA213A532BE052gEy3L" TargetMode="External"/><Relationship Id="rId29" Type="http://schemas.openxmlformats.org/officeDocument/2006/relationships/hyperlink" Target="consultantplus://offline/ref=91B8FA498EE1BE8E52FD9580FF33D758912A369C29ED3DBF59318598588E3AAE5F5C2AC3C55FEA213A5329EA52gEy5L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FA498EE1BE8E52FD9580FF33D758912A369C29ED3DB95B368898588E3AAE5F5C2AC3C55FEA213A522FEB55gEy7L" TargetMode="External"/><Relationship Id="rId11" Type="http://schemas.openxmlformats.org/officeDocument/2006/relationships/hyperlink" Target="consultantplus://offline/ref=91B8FA498EE1BE8E52FD9580FF33D758912A369C29ED3DBF59318598588E3AAE5F5C2AC3C55FEA213A5129EF56gEy5L" TargetMode="External"/><Relationship Id="rId24" Type="http://schemas.openxmlformats.org/officeDocument/2006/relationships/hyperlink" Target="consultantplus://offline/ref=91B8FA498EE1BE8E52FD9580FF33D758912A369C29ED3DBF59318598588E3AAE5F5C2AC3C55FEA213A5328E857gEy0L" TargetMode="External"/><Relationship Id="rId32" Type="http://schemas.openxmlformats.org/officeDocument/2006/relationships/hyperlink" Target="consultantplus://offline/ref=91B8FA498EE1BE8E52FD9580FF33D758912A369C29ED3DBF59318598588E3AAE5F5C2AC3C55FEA213A5329ED51gEy0L" TargetMode="External"/><Relationship Id="rId37" Type="http://schemas.openxmlformats.org/officeDocument/2006/relationships/hyperlink" Target="consultantplus://offline/ref=91B8FA498EE1BE8E52FD9580FF33D758912A369C29ED3DBF59318598588E3AAE5F5C2AC3C55FEA213A5329EE51gEy7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1B8FA498EE1BE8E52FD9580FF33D758912A369C29ED3DB95B368898588E3AAE5F5C2AC3C55FEA213A522FEB55gEy6L" TargetMode="External"/><Relationship Id="rId15" Type="http://schemas.openxmlformats.org/officeDocument/2006/relationships/hyperlink" Target="consultantplus://offline/ref=91B8FA498EE1BE8E52FD9580FF33D758912A369C29ED3DBF59318598588E3AAE5F5C2AC3C55FEA213A532CEE5CgEy2L" TargetMode="External"/><Relationship Id="rId23" Type="http://schemas.openxmlformats.org/officeDocument/2006/relationships/hyperlink" Target="consultantplus://offline/ref=91B8FA498EE1BE8E52FD9580FF33D758912A369C29ED3EB95C358198588E3AAE5F5C2AC3C55FEA213A522EE954gEy3L" TargetMode="External"/><Relationship Id="rId28" Type="http://schemas.openxmlformats.org/officeDocument/2006/relationships/hyperlink" Target="consultantplus://offline/ref=91B8FA498EE1BE8E52FD9580FF33D758912A369C29ED3DBF59318598588E3AAE5F5C2AC3C55FEA213A5329EA57gEyEL" TargetMode="External"/><Relationship Id="rId36" Type="http://schemas.openxmlformats.org/officeDocument/2006/relationships/hyperlink" Target="consultantplus://offline/ref=91B8FA498EE1BE8E52FD9580FF33D758912A369C29ED3DBF59318598588E3AAE5F5C2AC3C55FEA213A5329EF56gEy6L" TargetMode="External"/><Relationship Id="rId10" Type="http://schemas.openxmlformats.org/officeDocument/2006/relationships/hyperlink" Target="consultantplus://offline/ref=91B8FA498EE1BE8E52FD9580FF33D758912A369C29ED3DBF59318598588E3AAE5F5C2AC3C55FEA213A5129EF55gEy1L" TargetMode="External"/><Relationship Id="rId19" Type="http://schemas.openxmlformats.org/officeDocument/2006/relationships/hyperlink" Target="consultantplus://offline/ref=91B8FA498EE1BE8E52FD9580FF33D758912A369C29ED3DBF59318598588E3AAE5F5C2AC3C55FEA213A532BEE56gEy6L" TargetMode="External"/><Relationship Id="rId31" Type="http://schemas.openxmlformats.org/officeDocument/2006/relationships/hyperlink" Target="consultantplus://offline/ref=91B8FA498EE1BE8E52FD9580FF33D758912A369C29ED3DBF59318598588E3AAE5F5C2AC3C55FEA213A5126EE55gEyEL" TargetMode="External"/><Relationship Id="rId4" Type="http://schemas.openxmlformats.org/officeDocument/2006/relationships/hyperlink" Target="consultantplus://offline/ref=91B8FA498EE1BE8E52FD9580FF33D758912A369C29ED3EB95C358198588E3AAE5F5C2AC3C55FEA213A522EE954gEy2L" TargetMode="External"/><Relationship Id="rId9" Type="http://schemas.openxmlformats.org/officeDocument/2006/relationships/hyperlink" Target="consultantplus://offline/ref=91B8FA498EE1BE8E52FD9580FF33D758912A369C29ED3DBF59318598588E3AAE5F5C2AC3C55FEA213A5129EF55gEy7L" TargetMode="External"/><Relationship Id="rId14" Type="http://schemas.openxmlformats.org/officeDocument/2006/relationships/hyperlink" Target="consultantplus://offline/ref=91B8FA498EE1BE8E52FD9580FF33D758912A369C29ED3DBF59318598588E3AAE5F5C2AC3C55FEA213A532CEE50gEy5L" TargetMode="External"/><Relationship Id="rId22" Type="http://schemas.openxmlformats.org/officeDocument/2006/relationships/hyperlink" Target="consultantplus://offline/ref=91B8FA498EE1BE8E52FD9580FF33D758912A369C29ED3DBF59318598588E3AAE5F5C2AC3C55FEA213A5128E953gEy0L" TargetMode="External"/><Relationship Id="rId27" Type="http://schemas.openxmlformats.org/officeDocument/2006/relationships/hyperlink" Target="consultantplus://offline/ref=91B8FA498EE1BE8E52FD9580FF33D758912A369C29ED3DBF59318598588E3AAE5F5C2AC3C55FEA213A5329EA54gEyEL" TargetMode="External"/><Relationship Id="rId30" Type="http://schemas.openxmlformats.org/officeDocument/2006/relationships/hyperlink" Target="consultantplus://offline/ref=91B8FA498EE1BE8E52FD9580FF33D758912A369C29ED3DBF59318598588E3AAE5F5C2AC3C55FEA213A5329EA5CgEy0L" TargetMode="External"/><Relationship Id="rId35" Type="http://schemas.openxmlformats.org/officeDocument/2006/relationships/hyperlink" Target="consultantplus://offline/ref=91B8FA498EE1BE8E52FD9580FF33D758912A369C29ED3DBF59318598588E3AAE5F5C2AC3C55FEA213A5329EC52gE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Пригодич</dc:creator>
  <cp:lastModifiedBy>User-pc</cp:lastModifiedBy>
  <cp:revision>2</cp:revision>
  <dcterms:created xsi:type="dcterms:W3CDTF">2020-03-27T11:50:00Z</dcterms:created>
  <dcterms:modified xsi:type="dcterms:W3CDTF">2020-03-29T23:16:00Z</dcterms:modified>
</cp:coreProperties>
</file>