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F6" w:rsidRPr="00D97AF6" w:rsidRDefault="00D97AF6" w:rsidP="00D97AF6">
      <w:pPr>
        <w:pBdr>
          <w:bottom w:val="single" w:sz="6" w:space="8" w:color="CCCCCC"/>
        </w:pBdr>
        <w:shd w:val="clear" w:color="auto" w:fill="F5F5F5"/>
        <w:spacing w:after="0" w:line="300" w:lineRule="atLeast"/>
        <w:outlineLvl w:val="0"/>
        <w:rPr>
          <w:rFonts w:ascii="Arial" w:eastAsia="Times New Roman" w:hAnsi="Arial" w:cs="Arial"/>
          <w:caps/>
          <w:kern w:val="36"/>
          <w:sz w:val="24"/>
          <w:szCs w:val="24"/>
          <w:lang w:eastAsia="ru-RU"/>
        </w:rPr>
      </w:pPr>
      <w:r w:rsidRPr="00D97AF6">
        <w:rPr>
          <w:rFonts w:ascii="Arial" w:eastAsia="Times New Roman" w:hAnsi="Arial" w:cs="Arial"/>
          <w:caps/>
          <w:kern w:val="36"/>
          <w:sz w:val="24"/>
          <w:szCs w:val="24"/>
          <w:lang w:eastAsia="ru-RU"/>
        </w:rPr>
        <w:t>ОКТЯБРЬ, 2015: СИСТЕМА СОЦИАЛЬНОЙ ЗАЩИТЫ В БРЕСТСКОЙ ОБЛАСТИ</w:t>
      </w:r>
      <w:r w:rsidR="0027632B">
        <w:rPr>
          <w:rFonts w:ascii="Arial" w:eastAsia="Times New Roman" w:hAnsi="Arial" w:cs="Arial"/>
          <w:caps/>
          <w:kern w:val="36"/>
          <w:sz w:val="24"/>
          <w:szCs w:val="24"/>
          <w:lang w:eastAsia="ru-RU"/>
        </w:rPr>
        <w:t>:</w:t>
      </w:r>
      <w:bookmarkStart w:id="0" w:name="_GoBack"/>
      <w:bookmarkEnd w:id="0"/>
      <w:r w:rsidRPr="00D97AF6">
        <w:rPr>
          <w:rFonts w:ascii="Arial" w:eastAsia="Times New Roman" w:hAnsi="Arial" w:cs="Arial"/>
          <w:caps/>
          <w:kern w:val="36"/>
          <w:sz w:val="24"/>
          <w:szCs w:val="24"/>
          <w:lang w:eastAsia="ru-RU"/>
        </w:rPr>
        <w:t xml:space="preserve"> СОСТОЯНИЕ И ПЕРСПЕКТИВЫ РАЗВИТИЯ</w:t>
      </w:r>
    </w:p>
    <w:p w:rsidR="00D97AF6" w:rsidRPr="00D97AF6" w:rsidRDefault="00D97AF6" w:rsidP="00D97AF6">
      <w:pPr>
        <w:shd w:val="clear" w:color="auto" w:fill="F5F5F5"/>
        <w:spacing w:after="225" w:line="300" w:lineRule="atLeast"/>
        <w:jc w:val="center"/>
        <w:rPr>
          <w:rFonts w:ascii="Arial" w:eastAsia="Times New Roman" w:hAnsi="Arial" w:cs="Arial"/>
          <w:sz w:val="24"/>
          <w:szCs w:val="24"/>
          <w:lang w:eastAsia="ru-RU"/>
        </w:rPr>
      </w:pPr>
      <w:r w:rsidRPr="00D97AF6">
        <w:rPr>
          <w:rFonts w:ascii="Arial" w:eastAsia="Times New Roman" w:hAnsi="Arial" w:cs="Arial"/>
          <w:b/>
          <w:bCs/>
          <w:sz w:val="24"/>
          <w:szCs w:val="24"/>
          <w:lang w:eastAsia="ru-RU"/>
        </w:rPr>
        <w:t>Система социальной защиты в Брестской области:</w:t>
      </w:r>
      <w:r w:rsidRPr="00D97AF6">
        <w:rPr>
          <w:rFonts w:ascii="Arial" w:eastAsia="Times New Roman" w:hAnsi="Arial" w:cs="Arial"/>
          <w:b/>
          <w:bCs/>
          <w:sz w:val="24"/>
          <w:szCs w:val="24"/>
          <w:lang w:eastAsia="ru-RU"/>
        </w:rPr>
        <w:br/>
        <w:t>состояние и перспективы развития</w:t>
      </w:r>
      <w:r w:rsidRPr="00D97AF6">
        <w:rPr>
          <w:rFonts w:ascii="Arial" w:eastAsia="Times New Roman" w:hAnsi="Arial" w:cs="Arial"/>
          <w:b/>
          <w:bCs/>
          <w:sz w:val="24"/>
          <w:szCs w:val="24"/>
          <w:lang w:eastAsia="ru-RU"/>
        </w:rPr>
        <w:br/>
      </w:r>
      <w:r w:rsidRPr="00D97AF6">
        <w:rPr>
          <w:rFonts w:ascii="Arial" w:eastAsia="Times New Roman" w:hAnsi="Arial" w:cs="Arial"/>
          <w:sz w:val="24"/>
          <w:szCs w:val="24"/>
          <w:lang w:eastAsia="ru-RU"/>
        </w:rPr>
        <w:t>(в помощь информационно-пропагандистским группам)</w:t>
      </w:r>
      <w:r w:rsidRPr="00D97AF6">
        <w:rPr>
          <w:rFonts w:ascii="Arial" w:eastAsia="Times New Roman" w:hAnsi="Arial" w:cs="Arial"/>
          <w:b/>
          <w:bCs/>
          <w:i/>
          <w:iCs/>
          <w:sz w:val="24"/>
          <w:szCs w:val="24"/>
          <w:lang w:eastAsia="ru-RU"/>
        </w:rPr>
        <w:t> </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b/>
          <w:bCs/>
          <w:sz w:val="24"/>
          <w:szCs w:val="24"/>
          <w:lang w:eastAsia="ru-RU"/>
        </w:rPr>
        <w:t>Пенсионное обеспечение</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Важнейшим элементом социальной защиты пожилых граждан является пенсионное обеспечение, которым в области охвачено по состоянию на 1 сентября 2015 года 378 335 граждан (27 </w:t>
      </w:r>
      <w:r w:rsidRPr="00D97AF6">
        <w:rPr>
          <w:rFonts w:ascii="Arial" w:eastAsia="Times New Roman" w:hAnsi="Arial" w:cs="Arial"/>
          <w:b/>
          <w:bCs/>
          <w:sz w:val="24"/>
          <w:szCs w:val="24"/>
          <w:lang w:eastAsia="ru-RU"/>
        </w:rPr>
        <w:t>%</w:t>
      </w:r>
      <w:r w:rsidRPr="00D97AF6">
        <w:rPr>
          <w:rFonts w:ascii="Arial" w:eastAsia="Times New Roman" w:hAnsi="Arial" w:cs="Arial"/>
          <w:sz w:val="24"/>
          <w:szCs w:val="24"/>
          <w:lang w:eastAsia="ru-RU"/>
        </w:rPr>
        <w:t> населения области).</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2015 году в связи с изменением бюджета прожиточного минимума в среднем на душу населения (далее – БПМ) трижды повышались размеры минимальных трудовых, социальных пенсий, надбавок, повышений и доплат к пенсиям. Увеличение по сравнению с январем 2015 г. составило 12,4%.</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i/>
          <w:iCs/>
          <w:sz w:val="24"/>
          <w:szCs w:val="24"/>
          <w:lang w:eastAsia="ru-RU"/>
        </w:rPr>
        <w:t>Справочно: на 1 сентября  2015 г. размер социальной пенсии по возрасту составляет 784 570 рублей, минимальной пенсии по возрасту – 1 579 220 рублей (с учетом доплаты, установленной постановлением Совета Министров Республики Беларусь от 22 декабря 1999 г. № 1976).</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С 1 сентября 2015 г. в соответствии и с Указом Президента Республики Беларусь от 13 августа 2015 года № 352 «О повышении пенсий»   произведен перерасчет трудовых пенсий в связи с ростом средней заработной платы работников в республике.</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результате перерасчета  трудовые пенсии увеличились в среднем на 5 процентов.</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i/>
          <w:iCs/>
          <w:sz w:val="24"/>
          <w:szCs w:val="24"/>
          <w:lang w:eastAsia="ru-RU"/>
        </w:rPr>
        <w:t>Справочно: с 1 сентября 2015 г. средний размер пенсии в Брестской области составил  2 681,7 тыс. рублей (по республике –  2 811,0 тыс. рублей, средний размер пенсии по возрасту – 2 781,8 тыс. рублей (по республике – 2 897,3 тыс. рублей).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области численность получателей пенсий ниже бюджета прожиточного минимума пенсионера составляет 0,57% от общего числа получателей.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i/>
          <w:iCs/>
          <w:sz w:val="24"/>
          <w:szCs w:val="24"/>
          <w:lang w:eastAsia="ru-RU"/>
        </w:rPr>
        <w:t>Справочно: на 1 августа 2015 г. бюджет прожиточного минимума пенсионера – 1 193 160 рублей.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80 761 пенсионер продолжает трудовую деятельность (21,3 % от общего числа пенсионеров).</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8 декабря 2014 г. был принят Указ Президента Республики Беларусь № 570 «О совершенствовании пенсионного обеспечения» (далее – Указ), который вступил в силу с 1 января 2015 года. Указом  предусмотрен комплекс мер, направленных на повышение уровня пенсий граждан, достигших общеустановленного пенсионного возраста, исчисленных при длительном стаже работы, усиление мотивации работников к более длительной легальной трудовой деятельности и ограничение иждивенческих установок.</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lastRenderedPageBreak/>
        <w:t>В связи с изменением средней заработной платы работников в республике дважды пересчитывались  пособия по уходу за ребенком в возрасте  до 3 лет. С начала года их размер увеличился на 4,9%.</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i/>
          <w:iCs/>
          <w:sz w:val="24"/>
          <w:szCs w:val="24"/>
          <w:lang w:eastAsia="ru-RU"/>
        </w:rPr>
        <w:t>Справочно: с 1 августа 2015 г. размер  ежемесячного пособия по уходу за ребенком до 3 лет на первого ребенка – 2344,0 тыс. рублей, на второго и последующего детей – 2678,9 тыс. рублей.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связи с изменением БПМ трижды пересчитывались иные виды государственных пособий семьям, воспитывающим детей. По сравнению с  январем 2015 г. их размер увеличился на 12,4%.</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i/>
          <w:iCs/>
          <w:sz w:val="24"/>
          <w:szCs w:val="24"/>
          <w:lang w:eastAsia="ru-RU"/>
        </w:rPr>
        <w:t>Справочно:с 1 августа 2015 г. размер  единовременного пособия в связи с рождением первого ребенка – 15 691 300 рублей,  второго и последующих детей – 21 967 800 рублей, пособия женщинам, ставшим на учет в государственных организациях здравоохранения до 12-недельного срока беременности, - 1 569 130 рублей, пособия по уходу за ребенком-инвалидом до 18 лет – 1569 130 рублей, пособия на детей старше 3 лет из отдельных категорий семей – 784 570 рублей (на каждого ребенка).</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целях дополнительной государственной поддержки семьям, воспитывающим детей, с 1 января 2015 г. введено новое ежемесячное пособие семьям на детей в возрасте от 3 до 18 лет в период воспитания  ребенка в возрасте до 3 лет (Указ Президента Республики Беларусь от 9 декабря 2014 года № 572 «О дополнительных мерах государственной поддержки семей, воспитывающих детей»).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i/>
          <w:iCs/>
          <w:sz w:val="24"/>
          <w:szCs w:val="24"/>
          <w:lang w:eastAsia="ru-RU"/>
        </w:rPr>
        <w:t>Справочно: его размер с 1 августа 2015 г. -  784 570 рублей.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Пенсионная система функционировала стабильно, пенсии и пособия выплачивались своевременно. Расходы на выплату пенсий и пособий за январь-август 2015 г. составили 8,157 трлн. рублей.</w:t>
      </w:r>
      <w:r w:rsidRPr="00D97AF6">
        <w:rPr>
          <w:rFonts w:ascii="Arial" w:eastAsia="Times New Roman" w:hAnsi="Arial" w:cs="Arial"/>
          <w:i/>
          <w:iCs/>
          <w:sz w:val="24"/>
          <w:szCs w:val="24"/>
          <w:lang w:eastAsia="ru-RU"/>
        </w:rPr>
        <w:t> </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b/>
          <w:bCs/>
          <w:sz w:val="24"/>
          <w:szCs w:val="24"/>
          <w:lang w:eastAsia="ru-RU"/>
        </w:rPr>
        <w:t>Социальная помощь и социальное обслуживание</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Социальное обслуживание населения обеспечивается через сеть территориальных центров, представленную двадцатью учреждениями: в каждом административном районе работает территориальный центр социального обслуживания (ТЦСОН).</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структуре ТЦСОН насчитывается 107 отделений. С целью обеспечения доступности социального обслуживания сельским жителям в ТЦСОН работает 239 социальных пунктов, из них – 19 стационарных и 220 – с выездной формой работы.</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текущем году открыто 1 отделение дневного пребывания граждан пожилого возраста в Ганцевичском ТЦСОН, всего в области таких отделений в настоящее время 4.</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 xml:space="preserve">Выполнено поручение Главы государства об обеспечении преемственности перехода выпускников центров коррекционно-развивающего обучения и </w:t>
      </w:r>
      <w:r w:rsidRPr="00D97AF6">
        <w:rPr>
          <w:rFonts w:ascii="Arial" w:eastAsia="Times New Roman" w:hAnsi="Arial" w:cs="Arial"/>
          <w:sz w:val="24"/>
          <w:szCs w:val="24"/>
          <w:lang w:eastAsia="ru-RU"/>
        </w:rPr>
        <w:lastRenderedPageBreak/>
        <w:t>реабилитации в ТЦСОН – работает 21 отделение дневного пребывания для инвалидов, которые на постоянной основе посещают 543 инвалида.</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Функционируют 2 отделения круглосуточного пребывания для граждан пожилого возраста на 20 мест каждое (в ТЦСОН г. Пинска и Лунинецкого района), в которых в январе-июне 2015 г. проживали  72 нетрудоспособных гражданина.</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Центрами обслуживается в домашних условиях 10 089 пожилых людей и инвалидов (в 1 квартале 2015 года обслуживалось- 10039 человек).</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ТЦСОН за 1 полугодие 2015 года за предоставлением различных видов помощи обратились более 145 тысяч граждан.</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2015 году в области продолжено внедрение новых форм жизнеустройства пожилых граждан: «приёмная семья» - в 15 районах 29 одиноких пожилых граждан приобрели семьи; 12 пожилых граждан пользуются регулярно гостеприимством «гостевой семьи».</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Барановичском, Брестском, Дрогичинском, Кобринском, Лунинецком, Малоритском, Пружанском и Столинском районах для 23 пожилых граждан организована работа «домов зимовки».</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июне 2015 г. открыта новая форма жизнеустройства для пожилых граждан - Дом совместного проживания для граждан пожилого возраста и инвалидов в дер. Гончары Ляховичского района. Дом рассчитан на проживание 8 престарелых граждан, в настоящее время в нем проживают 4 человека.</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По-прежнему, одним из основных видов социальной поддержки малообеспеченных семей (граждан) является государственная адресная социальная помощь (далее – ГАСП). В первом полугодии ГАСП назначена 20,9 тыс. человек на сумму 42,4 млрд. рублей.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 ГАСП в виде ежемесячного пособия назначено 5,3 тыс. человек на сумму 9,4 млрд. рублей (средний размер пособия на одного человека в месяц составил 296,5 тыс. рублей);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 ГАСП в виде единовременного социального пособия получили 1 490 человек на сумму 1,4 млрд. рублей (средний размер пособия составил 939,9 тыс. рублей);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 ГАСП на возмещение затрат на приобретение подгузников: 8689 инвалидов и детей-инвалидов получали этот вид пособия на сумму 17,6 млрд. рублей;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 ГАСП в виде пособий на оплату технических средств социальной реабилитации, выплачено 3,4 млрд. рублей 1489 заявителям;</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 ГАСП в виде бесплатных продуктов питания для детей первых двух лет жизни на 10,6 млрд. рублей  для 3973 детей.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С 1 января 2015 г. Указом Президента Республики Беларусь от 09.12.2014  № 572 «О дополнительных мерах государственной поддержки семей, воспитывающих детей» (далее – Указ № 572) установлены дополнительные меры государственной поддержки семей, воспитывающих детей.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lastRenderedPageBreak/>
        <w:t>В частности, семьям будут единовременно предоставляться безналичные денежные средства в размере 10 тыс. долларов США при рождении третьего или последующих детей. Право на такой семейный капитал имеют граждане Республики Беларусь при рождении (усыновлении) третьего или последующих детей, родившихся с 1 января 2015 г. до 31 декабря 2019 г.</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Срок реализации этого вида долгосрочной поддержки семей с детьми –  5 лет.</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Для назначения семейного капитала гражданину, имеющему право на семейный капитал, необходимо лично или через своего представителя обратиться в местный исполнительный и распорядительный орган в соответствии с регистрацией по месту жительства с заявлением о назначении семейного капитала и предоставить документы, указанные в пункте 2.46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26.04.2010 № 200.</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На 01.09.2015 в области за назначением семейного капитала обратились 1651 семья.</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Право на обращение за назначением семейного капитала возникает в течение 6 месяцев со дня рождения (усыновления) третьего и последующих детей, право на распоряжение средствами семейного капитала – по истечении 18 лет с даты рождения, усыновления (удочерения) ребенка.</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Средства семейного капитала используются на:</w:t>
      </w:r>
    </w:p>
    <w:p w:rsidR="00D97AF6" w:rsidRPr="00D97AF6" w:rsidRDefault="00D97AF6" w:rsidP="00D97AF6">
      <w:pPr>
        <w:numPr>
          <w:ilvl w:val="0"/>
          <w:numId w:val="1"/>
        </w:numPr>
        <w:shd w:val="clear" w:color="auto" w:fill="F5F5F5"/>
        <w:spacing w:after="0" w:line="300" w:lineRule="atLeast"/>
        <w:ind w:left="0"/>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улучшение жилищных условий;</w:t>
      </w:r>
    </w:p>
    <w:p w:rsidR="00D97AF6" w:rsidRPr="00D97AF6" w:rsidRDefault="00D97AF6" w:rsidP="00D97AF6">
      <w:pPr>
        <w:numPr>
          <w:ilvl w:val="0"/>
          <w:numId w:val="1"/>
        </w:numPr>
        <w:shd w:val="clear" w:color="auto" w:fill="F5F5F5"/>
        <w:spacing w:after="0" w:line="300" w:lineRule="atLeast"/>
        <w:ind w:left="0"/>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получение образования;</w:t>
      </w:r>
    </w:p>
    <w:p w:rsidR="00D97AF6" w:rsidRPr="00D97AF6" w:rsidRDefault="00D97AF6" w:rsidP="00D97AF6">
      <w:pPr>
        <w:numPr>
          <w:ilvl w:val="0"/>
          <w:numId w:val="1"/>
        </w:numPr>
        <w:shd w:val="clear" w:color="auto" w:fill="F5F5F5"/>
        <w:spacing w:after="0" w:line="300" w:lineRule="atLeast"/>
        <w:ind w:left="0"/>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получение услуг в сфере социального обслуживания, здравоохранения;</w:t>
      </w:r>
    </w:p>
    <w:p w:rsidR="00D97AF6" w:rsidRPr="00D97AF6" w:rsidRDefault="00D97AF6" w:rsidP="00D97AF6">
      <w:pPr>
        <w:numPr>
          <w:ilvl w:val="0"/>
          <w:numId w:val="1"/>
        </w:numPr>
        <w:shd w:val="clear" w:color="auto" w:fill="F5F5F5"/>
        <w:spacing w:after="0" w:line="300" w:lineRule="atLeast"/>
        <w:ind w:left="0"/>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формирование накопительной пенсии матери (мачехи) – в полной семье, родителя – в неполной семье.</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Использовать средства семейного капитала можно как в полном объеме, так и по частям, причем по одному или нескольким направлениям в зависимости от потребностей семьи.</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Указом № 572 определено, что средства семейного капитала могут быть использованы досрочно только на получение членом (членами) семьи платных медицинских услуг, оказываемых организациями здравоохранения, в порядке и по перечню, определяемым Министерством здравоохранения.</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Согласно утвержденному Министерством здравоохранения Республики Беларусь перечню платных медицинских услуг, получаемых членом (членами) семьи при досрочном использовании средств семейного капитала, досрочно средства семейного капитала могут быть использованы по желанию граждан в кардиохирургии, нейрохирургии, онкологии на приобретение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и (или) иных лекарственных средств вместо включенных в Республиканский формуляр лекарственных средств.</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lastRenderedPageBreak/>
        <w:t>Получить эти услуги, используя средства семейного капитала, член (члены) семьи могут на территории Республики Беларусь.</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Во исполнение мероприятий Национальной и региональной программ демографической безопасности на 2011-2015 годы в области выплачивается единовременная материальная помощь к 2015/2016 учебному году семьям, воспитывающим троих и более детей, обучающихся в учреждениях среднего и специального образования, в размере до 30 процентов бюджета прожиточного минимума, действующего на 1 августа календарного года, на каждого учащегося.</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По состоянию на 28.09.2015 помощь оказана 4 432 семьям на 14 642 ребенка в размере 6,2 млрд. рублей из средств местных бюджетов.</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b/>
          <w:bCs/>
          <w:sz w:val="24"/>
          <w:szCs w:val="24"/>
          <w:lang w:eastAsia="ru-RU"/>
        </w:rPr>
        <w:t>Социальная поддержка ветеранов и инвалидов</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На территории области по состоянию на 01.07.2015  проживало 2 098 ветеранов Великой Отечественной войны, в том числе 492 инвалида, 1 011 участников, 427 награждённых орденами и медалями за труд и службу в тылу в годы войны, 52 блокадника Ленинграда, 106 лиц, работавших на прифронтовых участках железных дорог, 10 принимавших участие в составе спецформирований в разминировании территорий. Кроме того, 217 членов семей погибших воинов и партизан, 108 инвалидов с детства по последствиям войны, 3 192 бывших узников фашизма, 21 101 одиноких пожилых граждан.</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Ежегодного проводится обследование жилищно-бытовых условий указанных категорий граждан. В ходе очередного обследования ветеранов войны и лиц, пострадавших от ее последствий, поступило 509 просьб, из которых удовлетворены489 (96 %).</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текущем году 7 432 инвалидам и пенсионерам оказана материальная помощь из средств Фонда социальной защиты населения на сумму 3,4 млрд. рублей. Ветеранам оказываются и другие меры социальной поддержки.</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Важнейшее направление работы с инвалидами это обеспечение их техническими средствами социальной реабилитации, протезированием. За 1 полугодие 2015 года инвалидам выдано в пользование 508 кресел-колясок и 624 единицы прочих средств социальной реабилитации. На эти цели израсходовано более 9,7 млрд. рублей бюджетных средств (в том числе 7,4 млрд. рублей из средств областного бюджета).</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b/>
          <w:bCs/>
          <w:sz w:val="24"/>
          <w:szCs w:val="24"/>
          <w:lang w:eastAsia="ru-RU"/>
        </w:rPr>
        <w:t>Новые формы социального обслуживания в стационарных социальных учреждениях области</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системе комитета по труду, занятости и социальной защите Брестского облисполкома 10 домов-интернатов для престарелых и инвалидов. Из них 2 дома-интерната для престарелых и инвалидов, 7 – психоневрологических, 1 – для детей-инвалидов с особенностями психофизического развития. В Коссовском психоневрологическом доме-интернате имеется специальное отделение для престарелых и инвалидов, освобожденных из мест лишения свободы, на 50 человек. Общая вместимость учреждений составляет 2363 койко-мест.</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lastRenderedPageBreak/>
        <w:t>В целях повышения уровня жизнедеятельности учреждений, улучшения санитарно-эпидемиологического режима, обеспечения безопасного проживания обеспечиваемых лиц в домах-интернатах проводятся работы по ремонту жилых корпусов, пищевых и медицинских блоков, кабинетов лечебной физкультуры, подсобных помещений. Во всех учреждениях в коридорах и санитарно-гигиенических комнатах установлены поручни. Отремонтированы банно-прачечные комплексы в Домачевском, Леснянском и Пинском домах-интернатах. Во всех домах-интернатах  произведена замена оконных блоков на энергоэффективные. Много сделано по благоустройству и озеленению территорий.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Трудовыми коллективами учреждений основные усилия направлены на обеспечение сбалансированного питания, соблюдение санитарно-эпидемиологического режима, медицинское обслуживание, реабилитацию, организацию свободного времени, создание условий для отдыха проживающих.</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Одной из важнейших задач, стоящих перед домами-интернатами, является совершенствование социального обслуживания – повышение доступности, качества и расширение видов оказываемых социальных услуг.</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2013-2014 г.г. в домах-интернатах области оборудованы комнаты повышенной комфортности и внедрены новые формы социальных услуг: сопровождаемое проживание, социальная передышка, краткосрочное проживание.</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Услуга сопровождаемого проживания – обеспечение проживания в отделении сопровождаемого проживания инвалидов I и II группы, детей-инвалидов для подготовки к самостоятельной жизни вне стационарного учреждения. В отделении сопровождаемого проживания люди с инвалидностью при помощи специалистов учреждения готовятся к максимально возможной самостоятельности в организации своего быта, досуга, взаимодействия и общения с другими людьми, а также к обеспечению необходимого ухода в условиях нестационарного проживания.</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Отделения сопровождаемого проживания открыты в Жабчицком, Кобринском, Коссовском и Городищенском домах-интернатах. Реализуются также проекты, направленные на расширение возможностей инвалидов при подготовке к независимому проживанию в Брестском, Домачевском, Пинском и Шерешевском домах-интернатах.</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Для инвалидов разработан комплекс реабилитационных мероприятий - медицинская, трудовая и социальная реабилитация. Оборудованы бытовые комнаты (мини-кухни и постирочные), комнаты психоэмоциональной разгрузки, спортивные площадки, комнаты для занятий физкультурой и спортом, которые оснащены тренажерным оборудованием. Созданы кружки различной направленности.</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 xml:space="preserve">Особая роль отводится реабилитации средствами спортивных игр. Спорт содействует интеграции людей с особенностями психофизического развития в жизнь коллектива, расширяет социальные контакты, возможности самореализации и самосовершенствования. Участие в спортивном движении </w:t>
      </w:r>
      <w:r w:rsidRPr="00D97AF6">
        <w:rPr>
          <w:rFonts w:ascii="Arial" w:eastAsia="Times New Roman" w:hAnsi="Arial" w:cs="Arial"/>
          <w:sz w:val="24"/>
          <w:szCs w:val="24"/>
          <w:lang w:eastAsia="ru-RU"/>
        </w:rPr>
        <w:lastRenderedPageBreak/>
        <w:t>способствует также активизации всех систем организма, моторной коррекции и формированию ряда необходимых двигательных компенсаций.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Услуги социальной передышки и краткосрочного проживания оказываются в целях предоставления родителям, членам семьи или лицам, осуществляющим уход за инвалидом, возможности для отдыха, восстановления сил или решения различных семейно-бытовых вопросов.</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Социальная передышка – услуга ухода за ребенком-инвалидом на определенный период времени (не более 28 суток в календарном году) в доме-интернате для детей-инвалидов. На период оказания услуги «социальная передышка» сохраняется выплата пособия по уходу за ребенком-инвалидом в возрасте до 18 лет.</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Краткосрочное проживание – проживание сроком до 1 месяца в доме-интернате в соответствии с перечнем медицинских показаний и противопоказаний для оказания социальных услуг в учреждениях социального обслуживания.</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Социальная передышка и краткосрочное проживание предоставляются на платной основе. Решением Брестского облисполкома от 12 марта 2014 г. № 177 «Об установлении тарифов на социальные услуги, предоставляемые государственными учреждениями социального обслуживания» установлены предельные максимальные тарифы на социальные услуги, предоставляемые стационарными учреждениями социального обслуживания в следующих размерах:</w:t>
      </w:r>
    </w:p>
    <w:p w:rsidR="00D97AF6" w:rsidRPr="00D97AF6" w:rsidRDefault="00D97AF6" w:rsidP="00D97AF6">
      <w:pPr>
        <w:numPr>
          <w:ilvl w:val="0"/>
          <w:numId w:val="2"/>
        </w:numPr>
        <w:shd w:val="clear" w:color="auto" w:fill="F5F5F5"/>
        <w:spacing w:after="0" w:line="300" w:lineRule="atLeast"/>
        <w:ind w:left="0"/>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домом-интернатом для детей-инвалидов с особенностями психофизического развития – 186 630 рублей за сутки;</w:t>
      </w:r>
    </w:p>
    <w:p w:rsidR="00D97AF6" w:rsidRPr="00D97AF6" w:rsidRDefault="00D97AF6" w:rsidP="00D97AF6">
      <w:pPr>
        <w:numPr>
          <w:ilvl w:val="0"/>
          <w:numId w:val="2"/>
        </w:numPr>
        <w:shd w:val="clear" w:color="auto" w:fill="F5F5F5"/>
        <w:spacing w:after="0" w:line="300" w:lineRule="atLeast"/>
        <w:ind w:left="0"/>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домом-интернатом для престарелых и инвалидов – 119 240 рублей;</w:t>
      </w:r>
    </w:p>
    <w:p w:rsidR="00D97AF6" w:rsidRPr="00D97AF6" w:rsidRDefault="00D97AF6" w:rsidP="00D97AF6">
      <w:pPr>
        <w:numPr>
          <w:ilvl w:val="0"/>
          <w:numId w:val="2"/>
        </w:numPr>
        <w:shd w:val="clear" w:color="auto" w:fill="F5F5F5"/>
        <w:spacing w:after="0" w:line="300" w:lineRule="atLeast"/>
        <w:ind w:left="0"/>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психоневрологическим домом-интернатом для престарелых и инвалидов – 149 480 рублей.</w:t>
      </w:r>
    </w:p>
    <w:p w:rsidR="00D97AF6" w:rsidRPr="00D97AF6" w:rsidRDefault="00D97AF6" w:rsidP="00D97AF6">
      <w:pPr>
        <w:numPr>
          <w:ilvl w:val="0"/>
          <w:numId w:val="2"/>
        </w:numPr>
        <w:shd w:val="clear" w:color="auto" w:fill="F5F5F5"/>
        <w:spacing w:after="0" w:line="300" w:lineRule="atLeast"/>
        <w:ind w:left="0"/>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Услугой краткосрочного проживания воспользовались в I полугодии 2015 г. 9 человек. Средняя сумма оплаты за 1 человека в месяц составила:</w:t>
      </w:r>
    </w:p>
    <w:p w:rsidR="00D97AF6" w:rsidRPr="00D97AF6" w:rsidRDefault="00D97AF6" w:rsidP="00D97AF6">
      <w:pPr>
        <w:numPr>
          <w:ilvl w:val="0"/>
          <w:numId w:val="2"/>
        </w:numPr>
        <w:shd w:val="clear" w:color="auto" w:fill="F5F5F5"/>
        <w:spacing w:after="0" w:line="300" w:lineRule="atLeast"/>
        <w:ind w:left="0"/>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доме-интернате для престарелых и инвалидов - 2,9 млн. рублей;</w:t>
      </w:r>
    </w:p>
    <w:p w:rsidR="00D97AF6" w:rsidRPr="00D97AF6" w:rsidRDefault="00D97AF6" w:rsidP="00D97AF6">
      <w:pPr>
        <w:numPr>
          <w:ilvl w:val="0"/>
          <w:numId w:val="2"/>
        </w:numPr>
        <w:shd w:val="clear" w:color="auto" w:fill="F5F5F5"/>
        <w:spacing w:after="0" w:line="300" w:lineRule="atLeast"/>
        <w:ind w:left="0"/>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в психоневрологическом доме-интернате для престарелых и инвалидов – 4,1 млн. рублей.</w:t>
      </w:r>
    </w:p>
    <w:p w:rsidR="00D97AF6" w:rsidRPr="00D97AF6" w:rsidRDefault="00D97AF6" w:rsidP="00D97AF6">
      <w:pPr>
        <w:shd w:val="clear" w:color="auto" w:fill="F5F5F5"/>
        <w:spacing w:before="225" w:after="225" w:line="300" w:lineRule="atLeast"/>
        <w:jc w:val="both"/>
        <w:rPr>
          <w:rFonts w:ascii="Arial" w:eastAsia="Times New Roman" w:hAnsi="Arial" w:cs="Arial"/>
          <w:sz w:val="24"/>
          <w:szCs w:val="24"/>
          <w:lang w:eastAsia="ru-RU"/>
        </w:rPr>
      </w:pPr>
      <w:r w:rsidRPr="00D97AF6">
        <w:rPr>
          <w:rFonts w:ascii="Arial" w:eastAsia="Times New Roman" w:hAnsi="Arial" w:cs="Arial"/>
          <w:sz w:val="24"/>
          <w:szCs w:val="24"/>
          <w:lang w:eastAsia="ru-RU"/>
        </w:rPr>
        <w:t>Работа по развитию социального обслуживания граждан, нуждающихся в постороннем уходе, в стационарных учреждениях постоянно совершенствуется. Наряду с обеспечением комфортных, безопасных условий для проживания и питания через развитие материально-технической базы большие усилия прилагаются по организации медицинского обслуживания, проведению реабилитационных мероприятий, культурного досуга. Такой подход позволяет не только улучшить качество жизни проживающих, но и, что очень важно, привносить во взаимоотношения персонала с ними гуманистические начала - доброту, отзывчивость, готовность прийти на помощь, умение поддержать добрым словом, советом и делом.</w:t>
      </w:r>
    </w:p>
    <w:p w:rsidR="00EC38A6" w:rsidRPr="00D97AF6" w:rsidRDefault="00EC38A6" w:rsidP="00D97AF6"/>
    <w:sectPr w:rsidR="00EC38A6" w:rsidRPr="00D97AF6" w:rsidSect="00D97AF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54C0C"/>
    <w:multiLevelType w:val="multilevel"/>
    <w:tmpl w:val="3F96E7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49C132B"/>
    <w:multiLevelType w:val="multilevel"/>
    <w:tmpl w:val="0AC20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F6"/>
    <w:rsid w:val="0027632B"/>
    <w:rsid w:val="00D97AF6"/>
    <w:rsid w:val="00EC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7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A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7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7AF6"/>
    <w:rPr>
      <w:b/>
      <w:bCs/>
    </w:rPr>
  </w:style>
  <w:style w:type="character" w:styleId="a5">
    <w:name w:val="Emphasis"/>
    <w:basedOn w:val="a0"/>
    <w:uiPriority w:val="20"/>
    <w:qFormat/>
    <w:rsid w:val="00D97AF6"/>
    <w:rPr>
      <w:i/>
      <w:iCs/>
    </w:rPr>
  </w:style>
  <w:style w:type="character" w:customStyle="1" w:styleId="apple-converted-space">
    <w:name w:val="apple-converted-space"/>
    <w:basedOn w:val="a0"/>
    <w:rsid w:val="00D97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7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A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7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7AF6"/>
    <w:rPr>
      <w:b/>
      <w:bCs/>
    </w:rPr>
  </w:style>
  <w:style w:type="character" w:styleId="a5">
    <w:name w:val="Emphasis"/>
    <w:basedOn w:val="a0"/>
    <w:uiPriority w:val="20"/>
    <w:qFormat/>
    <w:rsid w:val="00D97AF6"/>
    <w:rPr>
      <w:i/>
      <w:iCs/>
    </w:rPr>
  </w:style>
  <w:style w:type="character" w:customStyle="1" w:styleId="apple-converted-space">
    <w:name w:val="apple-converted-space"/>
    <w:basedOn w:val="a0"/>
    <w:rsid w:val="00D9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9434">
      <w:bodyDiv w:val="1"/>
      <w:marLeft w:val="0"/>
      <w:marRight w:val="0"/>
      <w:marTop w:val="0"/>
      <w:marBottom w:val="0"/>
      <w:divBdr>
        <w:top w:val="none" w:sz="0" w:space="0" w:color="auto"/>
        <w:left w:val="none" w:sz="0" w:space="0" w:color="auto"/>
        <w:bottom w:val="none" w:sz="0" w:space="0" w:color="auto"/>
        <w:right w:val="none" w:sz="0" w:space="0" w:color="auto"/>
      </w:divBdr>
    </w:div>
    <w:div w:id="12474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 Николаевна Каленчук</dc:creator>
  <cp:lastModifiedBy>Элеонора Николаевна Каленчук</cp:lastModifiedBy>
  <cp:revision>3</cp:revision>
  <cp:lastPrinted>2015-10-07T13:23:00Z</cp:lastPrinted>
  <dcterms:created xsi:type="dcterms:W3CDTF">2015-10-07T13:21:00Z</dcterms:created>
  <dcterms:modified xsi:type="dcterms:W3CDTF">2015-10-14T16:01:00Z</dcterms:modified>
</cp:coreProperties>
</file>