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3" w:rsidRPr="006F2861" w:rsidRDefault="00DD4E13" w:rsidP="006F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61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</w:t>
      </w:r>
      <w:r w:rsidR="006F2861" w:rsidRPr="006F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861">
        <w:rPr>
          <w:rFonts w:ascii="Times New Roman" w:hAnsi="Times New Roman" w:cs="Times New Roman"/>
          <w:b/>
          <w:sz w:val="28"/>
          <w:szCs w:val="28"/>
        </w:rPr>
        <w:t>Брестской области за первое полугодие 2014 г</w:t>
      </w:r>
      <w:r w:rsidR="006F2861" w:rsidRPr="006F2861">
        <w:rPr>
          <w:rFonts w:ascii="Times New Roman" w:hAnsi="Times New Roman" w:cs="Times New Roman"/>
          <w:b/>
          <w:sz w:val="28"/>
          <w:szCs w:val="28"/>
        </w:rPr>
        <w:t>ода</w:t>
      </w:r>
      <w:bookmarkStart w:id="0" w:name="_GoBack"/>
      <w:bookmarkEnd w:id="0"/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 итогам первого полугодия 2014 г. Брестской областью обеспечено выполнение в полном объеме 4 прогнозных показателей социально-экономического развития: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валовой региональный продукт (далее – ВРП) – темп роста 101,8% (прогноз на первое полугодие – 101-101,2%);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номинальная начисленная среднемесячная заработная плата – 5013,8 тыс. рублей (4869 тыс. рублей);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показатель по энергосбережению – «минус» 5,8% («минус» 3%);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прямые иностранные инвестиции на чистой основе (без учета задолженности прямому инвестору за товары, работы, услуги) – за I квартал 36,4 млн. долл. США (прогноз на январь-март 2014 г. – 30 млн. долларов США).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Обеспечены положительные темпы роста по остальным прогнозным показателям: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экспорту товаров без учета организаций республиканской подчиненности – 105,7% (прогноз на первое полугодие – 110,8-111,6%);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экспорту услуг без учета организаций республиканской подчиненности – за январь-май 107,8% (110,8-111,4%);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выручке от реализации продукции, товаров, работ – за январь-май 113,9% и составила 186,5 млн. рублей (235,9 млн. рублей).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Кроме того, в первом полугодии 2014 г. обеспечен прирост розничного товарооборота торговли на 9,6%, строительно-монтажных работ - на 9,5%, введено в действие 383,1 тыс. кв. метров жилья, или 49,8% от плана на год при задании не менее 45%.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Объем ВРП за январь-июнь 2014 г. составил 31,6 трлн. рублей, что на 1,8% больше, чем за соответствующий период прошлого года. 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Обеспечено увеличение добавленной стоимости в горнодобывающей промышленности на 2,9% (удельный вес в ВРП – 1,8%), производстве и распределении электроэнергии, газа и воды - на 7,4% (3,1%), строительстве – на 9,7% (12,3%), торговле - на 5,4% (14%), по гостиницам и ресторанам - на 4,8% (0,8%), транспорту и связи - на 3,5% (11,7%), операциям с недвижимым имуществом - на 1,8% (6,1%), коммунальным, социальным и персональным услугам – на 6,9% (2,3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%) и в здравоохранении – на 1,4% (4,2%).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Почти треть объема валовой добавленной стоимости приходится на долю промышленного комплекса.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lastRenderedPageBreak/>
        <w:t>В первом полугодии 2014 г. обеспечен прирост индекса физического объема продукции промышленности по сравнению с первым кварталом как в целом по промышленности области, так и по всем основным секциям. Так, за январь-июнь 2014 г. в целом по области индекс физического объема составил 98,2% при квартальном 96,1%, в том числе по горнодобывающей промышленности – 102,8% при 101%, обрабатывающей – 97,1% при 95,5%, по производству и распределению электроэнергии, газа и воды – 107,1% при 99,5%.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В горнодобывающей промышленности положительная динамика обеспечена работой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валообразующего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предприятия отрасли - РУПП «Гранит», где темп роста производства в натуральном выражении составил 104,4%.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обрабатывающей промышленности рост отмечается в производстве пищевых продуктов (темп 100,9%), нефтепродуктов (101%), неметаллических минеральных продуктов (101,5%), готовых металлических изделий (114,2%) и в прочей промышленности (101,4%).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ведущей отрасли обрабатывающей промышленности, производстве пищевых продуктов (удельный вес в обрабатывающей промышленности 54,2%), удалось выйти на положительную динамику в первую очередь за счет увеличения производства рыбопродуктов (темп роста 119,9%), растительных масел (330,7%), консервов и соков (107,1%), мясопродуктов (100,9%).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тоже время, необходимо отметить, что наибольшее падение производства произошло в отраслях, в которых наибольший удельный вес занимают предприятия республиканского подчинения.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первую очередь это касается машиностроительных отраслей: производство машин и оборудования (темп 91,1%), транспортных средств и оборудования (82%), электрооборудования, электронного и оптического оборудования (84,1%).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Из-за сокращения заказов крупных сборочных производств, таких как МАЗ, МТЗ,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и другие, сложная финансово-экономическая ситуация складывается на машиностроительных предприятиях области, связанных с ними кооперационными связями. 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Объемы производства также снижены по обработке древесины (96,9%), в текстильном и швейном производстве (98,7%), производстве изделий из кожи и обуви (96,5%).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 состоянию на 1 июля 2014 г. общая стоимость запасов готовой продукции на складах промышленных предприятий области составила 3790,6 млрд. рублей, или 84,9% к среднемесячному объему производства.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lastRenderedPageBreak/>
        <w:t xml:space="preserve">Более 60% запасов сосредоточено на предприятиях республиканского подчинения. За период с начала года запасы по данному кругу предприятий увеличились на 345 млрд. рублей, или на 10,4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., и составили 2304,9 млрд. руб., или 119,6% к среднемесячному объему производства.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Наибольший уровень запасов сложился на предприятиях Минпрома (на 1 июля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. запасы составили 445,8 млрд. руб., или 174,4% к среднемесячному объему производства), концернов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Беллегпром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» (330,9 млрд. руб., или 357,9%) и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» (365,9 млрд. руб., или 189,9%), а также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Госкомвоенпрома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(ОАО «558 авиаремонтный завод» -358 млрд. руб., или 551,9%).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В организациях местного подчинения за первое полугодие стоимость запасов увеличилась на 139,3 млрд. рублей, или на 4,4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., и на 1 июля 2014 г. составила 595,6 млрд. рублей, или 39,3% к среднемесячному объему производства (задание - не более 49%).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Необходимо отметить, что за июнь стоимость запасов готовой продукции на складах промышленных предприятий области снизилась на 194,2 млрд. рублей, а их уровень к среднемесячному объему производства - на 4,5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., в том числе по организациям местной подчиненности – на 25,5 млрд. рублей, или на 1,7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Работа по снижению складских запасов находится на постоянном контроле в облисполкоме. Одной из мер, принимаемых для снижения складских запасов, является работа по увеличению экспорта продукции.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61">
        <w:rPr>
          <w:rFonts w:ascii="Times New Roman" w:hAnsi="Times New Roman" w:cs="Times New Roman"/>
          <w:sz w:val="28"/>
          <w:szCs w:val="28"/>
        </w:rPr>
        <w:t>За январь-июнь 2014 г. экспорт товаров в целом по области составил 1224,4 млн. долл. США, или 102,6% к соответствующему периоду прошлого года, сальдо сложилось положительное в размере 228,3 млн. долл. Без учета республиканских организаций темп роста экспортных поставок составил 105,7% (прогноз на первое полугодие 110,8-111,6%), сальдо – положительное 118,6 млн. долл.</w:t>
      </w:r>
      <w:proofErr w:type="gramEnd"/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Область занимает 1 место в республике по объемам экспорта сельскохозяйственной продукции и продовольствия. За январь-май поставки данной продукции на экспорт составили 594,5 млн. долл., что на 6,8% больше, чем за аналогичный период 2013 года.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январе-июне в целом по области значительно возрос экспорт консервированной рыбы и икры (68,7 млн. долл., темп 116,9%), мяса КРС свежего (52,3 млн. долл., 114,3%), колбас и прочих продуктов из мяса (61,8 млн. долл., 108,5%), молока и сливок (50,1 млн. долл., 136,1%), сушеной и соленой рыбы (33,0 млн. долл., 200,1%).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lastRenderedPageBreak/>
        <w:t>В целях наращивания экспорта предприятиями области проводится работа по диверсификации рынков сбыта. По итогам января-июня текущего года экспортные поставки осуществлялись в 62 государства мира. Наиболее активными торговыми партнерами за истекший период стали: Российская Федерация, Казахстан, Украина, Германия, Польша, Литва, Норвегия. В 2014 году впервые были осуществлены поставки в Южную Африку, Боснию и Герцеговину, Камерун.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61">
        <w:rPr>
          <w:rFonts w:ascii="Times New Roman" w:hAnsi="Times New Roman" w:cs="Times New Roman"/>
          <w:sz w:val="28"/>
          <w:szCs w:val="28"/>
        </w:rPr>
        <w:t xml:space="preserve">Наибольшим спросом за пределами Республики Беларусь пользуется продукция таких брестских предприятий, как СП «Санта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Бремор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» ООО, ОАО «Савушкин продукт», СП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Брестгазоаппарат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» ОАО, ЗАО «Холдинговая компания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Пинскдрев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», ОАО «Березовский сыродельный комбинат», ОАО «Брестский мясокомбинат», СООО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Юнимилк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Пружаны», ОАО «Березовский мясоконсервный комбинат», ОАО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Жабинковский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сахарный завод», ОАО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мясокомбинат», СООО «ПП Полесье», ПТУП «Гефест-Техника», ОАО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Ивацевичдрев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», ЧУПП «Строительная техника и материалы» и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связи со сложной политической и экономической ситуацией в Украине, экспорт в данный регион снижен на треть (темп 61,4%), а доля экспорта в Украину сократилась с 4,2% в 2013 году до 2,5% в январе-июне 2014 г.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61">
        <w:rPr>
          <w:rFonts w:ascii="Times New Roman" w:hAnsi="Times New Roman" w:cs="Times New Roman"/>
          <w:sz w:val="28"/>
          <w:szCs w:val="28"/>
        </w:rPr>
        <w:t>Падение экспорта в Украину по многим позициям компенсируется ростом экспорта в Российскую Федерацию: экспорт рыбы сушеной вырос более чем в 2 раза (31,1 млн. долл.), молока и сливок на 40,8% (47,9 млн. долл.), консервированной рыбы и икры на 22,4% (59,7 млн. долл.), мяса КРС на 14,3% (62,3 млн. долл.), кисломолочных продуктов на 12,7% (22,1 млн. долл.).</w:t>
      </w:r>
      <w:proofErr w:type="gramEnd"/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Более чем на 19,5% увеличился экспорт предприятий области в страны вне СНГ, в том числе в страны ЕС на 11%.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Экспорт услуг в целом по области за январь-май 2014 г. составил 124 млн. долл. и вырос по сравнению с аналогичным периодом 2013 года на 7% (по республике – на 1,3%), импорт - 174,9 млн. долл., рост в 4,7 раза, сальдо сложилось отрицательное 50,9 млн. долл.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Существенный рост импорта услуг и, как результат, отрицательное сальдо обусловлены значительным увеличением импорта по организациям республиканского подчинения, который вырос более чем в 12 раз и составил 151,8 млн. долл. (РУП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Брестэнерго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» импортировало строительные услуги на сумму 132,2 млн. долл. при строительстве ПГУ- 400МВт на Березовской ГРЭС).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Без учета организаций республиканского подчинения темп роста экспорта услуг составил 107,8% при прогнозе на первое полугодие 110,8-111,4%, </w:t>
      </w:r>
      <w:r w:rsidRPr="006F2861">
        <w:rPr>
          <w:rFonts w:ascii="Times New Roman" w:hAnsi="Times New Roman" w:cs="Times New Roman"/>
          <w:sz w:val="28"/>
          <w:szCs w:val="28"/>
        </w:rPr>
        <w:lastRenderedPageBreak/>
        <w:t>сальдо сложилось положительное в размере 68,4 млн. долл. При этом по организациям местного подчинения экспорт услуг вырос на 18,9% (без ведомственного подчинения с прочими – на 7,2%).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Недовыполнение прогноза обусловлено падением экспорта услуг железнодорожного транспорта (темп 82,5%) и туристических услуг (88,5%). В тоже время, по сравнению с прошлым годом значительно увеличился экспо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оительных услуг (темп 123,6%), компьютерных услуг (116,2%), услуг здравоохранения (162,6%), автомобильного транспорта (111,6%).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За первое полугодие 2014 г. организациями области привлечено 10,6 трлн. рублей инвестиций в основной капитал, или 85,5% к январю-июню 2013 г., что обусловлено высокой базой прошлого года, когда инвестиции по объекту ПГУ- 400МВт на Березовской ГРЭС «под ключ» составили около 2 трлн. рублей.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 итогам I квартала 2014 года в область привлечено 36,4 млн. долл. США прямых иностранных инвестиций на чистой основе при прогнозе на данный период 30 млн. долл.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За счет прямых иностранных инвестиций в области реализуются следующие проекты: создано предприятие по производству паркетной доски в Брестском районе, продолжается реконструкция завода по переработке отходов животного происхождения в Березовском района, реализация проекта по созданию полного цикла производства аккумуляторов в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инске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, завершается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техперевооружение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белорусско-американского предприятия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КамСил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г.Пинске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, с участием шведского капитала начата реализация проекта по модернизации ОАО «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Барановичидрев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», с участием итальянского капитала реализуются два проекта по строительству торгово-административных комплексов в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ресте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Наблюдается улучшение финансового состояния организаций области по сравнению с 1 кварталом. Рентабельность продаж в целом по области за январь-май 2014 г. составила 5,5%, что на 0,7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. выше уровня I квартала текущего года, по предприятиям местного подчинения – 7,7% (на 0,7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. выше). Увеличилась рентабельность и в основных отраслях: в промышленности – на 0,7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. и составила 5%, сельском хозяйстве – на 0,3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. и 7,3%, строительстве – на 1,9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. и 6,2%.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Количество убыточных предприятий в целом по области на 1 июня 2014 г. составило 237 единиц, по предприятиям местного подчинения – 80 единиц. Наблюдается тенденция снижения количества убыточных предприятий как в целом по области (за январь – 312 ед., I квартал – 273, 5 месяцев – 237 ед.), так и по предприятиям местного подчинения (137, 95, 80 ед. соответственно). </w:t>
      </w:r>
      <w:r w:rsidRPr="006F2861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сумма убытков на одну убыточную организацию в области самая низкая в республике (3,1 млрд. рублей 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средней по республике 5,02 млрд. рублей).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Продолжается положительная динамика роста выручки от реализации продукции на 1 среднесписочного работника в коммерческих организациях по сравнению с началом года. За январь-май 2014 г. выручка составила 186,5 млн. рублей (прогноз на первое полугодие – 235,9 млн. рублей) и выросла по сравнению с аналогичным периодом 2013 года на 13,9% (за январь 2014 г. к январю 2013 г. – 105,9%, январь-март – 111,4%, январь-апрель – 112%).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Субъектами малого предпринимательства за январь-июнь 2014 г. создано 504 новые микр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и малые организации (53,1% к заданию на год), 6898 новых рабочих мест (51,7%), в том числе в малых городах – 1102.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За 1 полугодие в области создано 78 новых промышленных предприятий и производств, создано 404 рабочих места. Начали производственную деятельность 38 организаций, в том числе 8 – с численностью не менее 15 человек.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О результатах работы сельскохозяйственных организаций области в первом полугодии 2014 г.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 результатам работы за январь-июнь 2014 г. темп роста валовой продукции сельского хозяйства в общественном секторе области составил 102,3% (по республике – 97,1%), а с учетом продукции произведенной населением – 100,4% (по республике – 95,7%).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Производство молока в сельскохозяйственных организациях области увеличено на 2,4% (по республике – снижено на 0,5%). Область на втором месте в республике 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: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темпам роста (после 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Гродненской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– 103,0%).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61">
        <w:rPr>
          <w:rFonts w:ascii="Times New Roman" w:hAnsi="Times New Roman" w:cs="Times New Roman"/>
          <w:sz w:val="28"/>
          <w:szCs w:val="28"/>
        </w:rPr>
        <w:t>объемам производства молока (после Минской – 745,1 тыс. тонн, по области – 661,2 тыс. тонн)</w:t>
      </w:r>
      <w:proofErr w:type="gramEnd"/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продуктивности дойного стада: по области 2461 кг (после Гродненской (2542 кг), по республике – 2276 кг). Продуктивность по области увеличена на 9 кг (в остальных областях она снижена, в целом по республике – на 64 кг).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Товарность молока (89,5%, «плюс» 0,9 процентных пункта к уровню 2013 года) самая высокая в республике.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61">
        <w:rPr>
          <w:rFonts w:ascii="Times New Roman" w:hAnsi="Times New Roman" w:cs="Times New Roman"/>
          <w:sz w:val="28"/>
          <w:szCs w:val="28"/>
        </w:rPr>
        <w:t xml:space="preserve">Два последних месяца (май-июнь) увеличивается к уровню 2013 года продукция выращивания скота и птицы (в живом весе): в мае – на 8,3%, в июне – на 1,4%. Однако восполнить допущенное с начала года отставание пока не удалось: за январь-июнь 2014 г. произведено (выращено) 137,1 тыс. </w:t>
      </w:r>
      <w:r w:rsidRPr="006F2861">
        <w:rPr>
          <w:rFonts w:ascii="Times New Roman" w:hAnsi="Times New Roman" w:cs="Times New Roman"/>
          <w:sz w:val="28"/>
          <w:szCs w:val="28"/>
        </w:rPr>
        <w:lastRenderedPageBreak/>
        <w:t>тонн скота и птицы (второе место в республике после Минской области – 187,5 тыс. тонн) или 97,6% к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уровню 2013 года.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61">
        <w:rPr>
          <w:rFonts w:ascii="Times New Roman" w:hAnsi="Times New Roman" w:cs="Times New Roman"/>
          <w:sz w:val="28"/>
          <w:szCs w:val="28"/>
        </w:rPr>
        <w:t xml:space="preserve">Выше среднереспубликанских показателей среднесуточные привесы крупного рогатого скота – 612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(третье место после Гомельской (667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) и Гродненской (666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) областей), по республике – 609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; и свиней – 623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(первое место среди областей), по республике – 543 гр.</w:t>
      </w:r>
      <w:proofErr w:type="gramEnd"/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Производство яиц за январь-июнь 2014 г. увеличено на 2,9% и составило 229,5 млн. штук.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Численность крупного рогатого скота снижена к уровню 2013 года на 1,8 тыс. голов или 0,2%, в том числе коров – увеличена на 4,5 тыс. голов или 1,6%.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 В то же время плотность скота по-прежнему самая высокая в республике: КРС на 100 га сельхозугодий – 68 голов (по республике – 56 голов), коров – 23 головы (по республике – 19 голов).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За январь-июнь 2014 г. сельскохозяйственными организациями области получено (по оперативным данным):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 - 7,0 трлн. рублей выручки или 122,0% к уровню 2013 года,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прибыль от реализации продукции (товаров, работ, услуг) составила 521,6 млрд. рублей (117,1%),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рентабельность продаж сложилась на уровне 7,4% (за январь-июнь 2013 г. – 7,7%),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чистая прибыль составила 657,5 млрд. рублей (101,0%).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Количество убыточных сельскохозяйственных организаций в области сократилось на 41%: с 22 организаций за январь-март 2014 г. до 13 за январь-июнь 2014 г.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настоящее время принимаются меры проведению уборочных работ в оптимальные агротехнические сроки.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В хозяйствах области уже завершена уборка озимого рапса. Валовой сбор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рапса составил 150,5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или 116% к уровню 2013 года, урожайность – 27,6 ц/га (урожайность 2013 года – 24,1 ц/га).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Ожидаемый валовой сбор зерна (без учета зерна кукурузы) составит порядка 1,4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, что к уровню 2013 года составит 130%. В настоящее время активно ведется доработка зерна и поставка его в счет государственных нужд.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Жилищное строительство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Ежегодно постановлением Совета Министров Республики Беларусь области доводится задание по вводу общей площади жилых домов за счет всех источников финансирования, в том числе для граждан, состоящих на учете </w:t>
      </w:r>
      <w:r w:rsidRPr="006F2861">
        <w:rPr>
          <w:rFonts w:ascii="Times New Roman" w:hAnsi="Times New Roman" w:cs="Times New Roman"/>
          <w:sz w:val="28"/>
          <w:szCs w:val="28"/>
        </w:rPr>
        <w:lastRenderedPageBreak/>
        <w:t>нуждающихся в улучшении жилищных условий с государственной поддержкой, с определением объемов и источников финансирования.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Установленное области задание решением областного исполнительного комитета доводится до городских и районных исполнительных комитетов с учетом количества граждан, состоящих на учете нуждающихся в улучшении жилищных условий.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Количество граждан, состоящих на учете нуждающихся в улучшении жилищных условий, по области на 1 января 2014 г. составляет 111,3 тыс. человек (семей), или 8% от общей численности населения. При этом по ряду регионов удельный вес состоящих на учете нуждающихся значительно выше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уровня: г. Брест - 10,7%, г. Барановичи - 11,2%, г. Пинск - 12,3%, Брестский район - 8,2%. Это обусловлено ростом численности городов (урбанизацией) и прилегающих к г. Бресту населенных пунктов и, как следствие, ростом количества нуждающихся в улучшении жилищных условий. С учетом данных обстоятельств вышеуказанным регионам доводится повышенное задание.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Что касается показателя по вводу общей площади жилых домов в расчете на одного жителя, то по области за период с 2012 г. по май 2014г. он составил 1,2 кв. метра. Выше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уровня данный показатель имеют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- 1,6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кв.метра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/чел, Брестский район - 2,8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кв.метра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/чел, Кобринский район - 1,4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кв.метра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/чел, по всем остальным регионам области данный показатель немного ниже или находится на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уровне и связан с изменением условий предоставления гражданам государственной поддержки, а также сокращением количества граждан, состоящих на учете нуждающихся в улучшении жилищных условий.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Справочно: На 1 января 2011г. на учете нуждающихся в улучшении жилищных условий по области состояло 124,5 тыс. человек (семей), а на 1 января 2014г. количество состоящих на учете сократилось на 13,2 тыс. человек (семей) и составило 111,3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(семей).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Демографическая ситуация.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Главной целью демографической политики Республики Беларусь на современном этапе ее развития являются изменение негативных тенденций рождаемости, смертности, создание в интересах общества благоприятных условий и предпосылок на основе улучшения жизненных условий населения.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области с целью улучшения демографической ситуации разработан комплекс мероприятий по следующим направлениям: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стабилизация рождаемости и ее увеличение в перспективе до уровня, обеспечивающего простой режим воспроизводства;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lastRenderedPageBreak/>
        <w:t>- повышение уровня здоровья населения, уменьшение смертности и рост средней продолжительности жизни;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укрепление брачно-семейных отношений и улучшение условий жизнедеятельности семьи;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- совершенствование регулирования миграционных процессов.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 численности населения Брестская область занимает четвертое место в республике после г. Минска, Минской и Гомельской областей и на начало 2014 года составила 1388,6 тысяч человек.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Основной тенденцией возрастной структуры является его постарение. Так, доля лиц старше трудоспособного возраста увеличилась с 13,1 процента на начало 1960 года до 19,9 в 1990 году и до 23,9 к началу 2014 года.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2013 году в области стабилизирован уровень рождаемости. Родилось 18 312 детей, что на 98 детей или 0,5 процента больше, чем в 2012 году. Рост произошел как в городских поселениях на 0,4 процента, так и в сельской местности – 0,8 процента.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Уровень рождаемости составил 13,2 на 1000 человек населения, за 2010 год – 12,2. Это на порядок выше уровня в других областях.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январе-июне 2014 г. родилось 8996 детей, что на 276 человек или на 3,2 процента больше, чем в январе-июне 2013 г. Рост произошел в городских поселениях на 3,7 процента, в сельской местности – на 2,0 процента. Число родившихся увеличилось в городах Брест, Барановичи и девяти районах области.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Увеличение числа рождений происходит, не 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смотря на уменьшение только за последние пять лет числа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женщин вообще, в том числе в детородном возрасте (15-49 лет).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За 2013 год по сравнению с 2012 годом почти на 0,7 процента сократилось число 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>. Снижение смертности произошло среди сельского населения на 4,3 процента, среди городского – увеличилось на 3,0 процента.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Общий коэффициент смертности в целом по области составил 13,0 на 1000 человек населения (2012 год – 13,1). Данный показатель самый низкий среди областей республики (кроме города Минска).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Уменьшилось число (с 3601 до 3430 случаев) и удельный вес (с 19,7 до 18,9 процента) смертей лиц трудоспособного возраста.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Снизилось в целом по области число смертей от болезней органов дыхания (на 14,8 процента), пищеварения (3,3), инфекционных и паразитарных болезней (14,2), мочеполовой системы (3,6), новообразований (4,0), случайных утоплений (18,2), убийств (20,0), случайных отравлений алкоголем (3,6), случаи, связанные с транспортными средствами (18,6).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lastRenderedPageBreak/>
        <w:t xml:space="preserve">В расчете на 1000 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младенческая смертность сократилась с 3,8 до 3,7.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январе-июне 2014 г. умерло 8947 человек, что на 433 человека или на 4,6 процента меньше, чем в январе-июне 2013 г. Сокращение числа умерших отмечено как среди городского (на 0,5 процента), так и среди сельского (8,6 процента) населения. Уменьшение числа умерших отмечается в 15 районах области и г. Бресте.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За 2013 год, впервые за 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20 лет, число родившихся превысило число умерших, естественный прирост составил 200 человек. За январь-июнь 2014 г. естественный прирост составил 49 человек (в 2013 году – убыль «минус» 660 человек).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2013 году в целом по области ожидаемая продолжительность жизни при рождении составила 73,1 года, у мужчин – 67,8 года, у женщин – 78,2 года.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 продолжительности жизни Брестская область занимает второе место в республике после г. Минска.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Заработная плата.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целом по области средняя заработная плата за январь-июнь 2014 г. составила 5013,8 тыс. рублей, и возросла по сравнению с аналогичным периодом 2013 г. на 20,5%, прогнозные показатели выполнены на 103,0%.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Реальная заработная плата по сравнению с аналогичным периодом 2013 г. в январе-июне 2014 г. возросла на 2,8 %.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Средняя заработная плата работников бюджетных организаций за январь-июнь 2014 г. по области составила 3856,1 тыс. рублей, и возросла по сравнению с аналогичным периодом 2013 г. на 19,9 %, темп роста реальной заработной платы составил 102,3%.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Занятость населения.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Предельный уровень регистрируемой безработицы на 2014 год установлен для области 1,4%.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Фактический уровень регистрируемой безработицы снизился с 0,7% на начало 2014 г. до 0,6% на 1 июля.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Численность безработных, состоящих на учете в государственной службе занятости, за 6 месяцев текущего года уменьшилась на 0,3 тыс. человек и составила на 1 июля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>. 3,7 тыс. человек, из которых 2,7 тыс. жители городов и городских поселений, и одна тысяча – сельские жители.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Одновременно на указанную дату нанимателями было заявлено о потребности в 6,9 тыс. работников, таким образом, на одну заявленную в государственную службу занятости вакансию условно приходилось 0,5 безработных. В г. Бресте количество заявленных вакансий почти в 2,5 раза превышало число безработных, состоявших на учете в службе занятости, в </w:t>
      </w:r>
      <w:r w:rsidRPr="006F2861">
        <w:rPr>
          <w:rFonts w:ascii="Times New Roman" w:hAnsi="Times New Roman" w:cs="Times New Roman"/>
          <w:sz w:val="28"/>
          <w:szCs w:val="28"/>
        </w:rPr>
        <w:lastRenderedPageBreak/>
        <w:t xml:space="preserve">Пинском районе – в 3,3 раза,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Каменецком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– в 2,7 раза,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Ивацевичском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– в 2,4 раза,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Барановичском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Пружанском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F2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2,3 раза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61">
        <w:rPr>
          <w:rFonts w:ascii="Times New Roman" w:hAnsi="Times New Roman" w:cs="Times New Roman"/>
          <w:sz w:val="28"/>
          <w:szCs w:val="28"/>
        </w:rPr>
        <w:t xml:space="preserve">Ни в одном из районов и городов областного подчинения регистрируемая безработица на 1 июля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. не превысила 1,0%. Максимальный уровень безработицы на указанную дату зафиксирован в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Малоритском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районе (0,9%), г. Пинске, Кобринском и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Лунинецком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районах (в каждом по 0,8%), минимальный – в городах Брест и Барановичи, Брестском и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Ляховичском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районах (в каждом по 0,5%).</w:t>
      </w:r>
      <w:proofErr w:type="gramEnd"/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Ганцевичском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районе, ранее относимом к регионам республики с самым высоким уровнем регистрируемой безработицы, на 1 июля 2014 г. этот показатель составлял 0,7%.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В первом полугодии при содействии управлении по труду, занятости и социальной защите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горрайисполкомов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трудоустроено 12,0 тыс. граждан, включая 8,0 тыс. имевших статус безработного (остальные из числа учащейся молодежи, обязанных лиц, пенсионеров, граждан, имеющих работу, но желающих ее сменить и т.п.).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На профессиональные подготовку, переподготовку, повышение квалификации и обучающие курсы направлено 548 безработных, из них 47% - под заказы конкретных нанимателей. Обучение велось по 40 профессиям и специальностям.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Для организации собственного дела 176 безработным оказана финансовая поддержка в виде субсидии.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61">
        <w:rPr>
          <w:rFonts w:ascii="Times New Roman" w:hAnsi="Times New Roman" w:cs="Times New Roman"/>
          <w:sz w:val="28"/>
          <w:szCs w:val="28"/>
        </w:rPr>
        <w:t>Численность занятых в экономике области в январе-июне составила 606,6 тыс. человек, в том числе в г. Бресте – 177,1 тыс. человек, г. Барановичи – 75,9 тыс., г. Пинске – 56,6 тыс., Кобринском районе – 35,4 тыс., Березовском – 27,9 тыс.</w:t>
      </w:r>
      <w:proofErr w:type="gramEnd"/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Социальная защита.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первом полугодии 2014 г. местными исполнительными органами власти и управления Брестской области обеспечен необходимый уровень соцзащиты граждан и семей, находящихся в трудной жизненной ситуации, с низкими доходами, пожилых людей, инвалидов и льготных категорий.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Предоставлялась Государственная адресная социальная помощь (ГАСП) в соответствии с Указом Президента Республики Беларусь от 19 января 2012 г. № 41 «О государственной адресной социальной помощи» (далее – Указ).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Поступило обращений за ГАСП 17 724. Её получили 18 987 человек на сумму 30,6 млрд. рублей.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В составе ГАСП особенно востребованным является социальное пособие на возмещение затрат на приобретение подгузников, которое предоставляется </w:t>
      </w:r>
      <w:r w:rsidRPr="006F2861">
        <w:rPr>
          <w:rFonts w:ascii="Times New Roman" w:hAnsi="Times New Roman" w:cs="Times New Roman"/>
          <w:sz w:val="28"/>
          <w:szCs w:val="28"/>
        </w:rPr>
        <w:lastRenderedPageBreak/>
        <w:t>инвалидам I группы и детям-инвалидам, имеющим 4-ю степень утраты здоровья. В первом, втором кварталах 2014 г. такой вид пособия получили 6 756 человек на сумму 10,9 млрд. рублей.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Пособия на оплату средств реабилитации назначены в первом полугодии 2014 г.- 1 323 гражданам на сумму 2,7 млрд. рублей.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основном пособия получали малообеспеченные семьи, воспитывающие несовершеннолетних детей. На 1 июля 2014 г. их доля в общем количестве получателей составила 81,6 %.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2014 году удельный вес одиноких пожилых граждан и инвалидов в общем числе получателей ГАСП составил 0,7% (254 человека).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С 1 апреля 2012 г. в систему ГАСП включено обеспечение продуктами питания детей первых двух лет жизни.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За январь-июнь 2014 г. бесплатное питание предоставлено 4 693 детям на сумму 9 млрд. рублей.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Наибольший удельный вес назначений бесплатного питания приходится на Московский район г. Бреста (13% от общего числа получателей по области), г. Пинск (12,1%), и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Столинский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район (11%).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Наименьшая численность получателей бесплатного питания в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Жабинковском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Ляховичском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районах (по 1,4% от общего числа получателей области).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Помимо ГАСП, для повышения уровня социальной защиты, исполнительными комитетами предоставлялась пожилым гражданам материальная помощь из средств районного, городского, областного бюджетов.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Её получили в текущем году, за первые шесть месяцев, 656 человек, на сумму 448,3 млн. рублей.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Социальная защита семей, воспитывающих детей обеспечивалась через систему социальных пособий, гарантий и льгот. Она включала в себя выплату пособий в связи с рождением и воспитанием детей, оказание финансовой поддержки многодетным и молодым семьям при решении жилищных проблем. Расчёт размера пособия основан на бюджете прожиточного минимума (БПМ) (с 1.08. по 31.10.2014 БПМ составляет 1 343 420 млн. рублей).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На выплату пособий семьям в связи с рождением и воспитанием детей направлено в первом полугодии 2014 г. 279,7 млрд. рублей из средств Фонда социальной защиты населения.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Важнейшим элементом социальной защиты пожилых граждан продолжало оставаться пенсионное обеспечение, которым в области охвачены по состоянию на 1 июля 2014 г. 376 394 человека (27% населения области).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lastRenderedPageBreak/>
        <w:t>В 2014 году органами по труду, занятости и социальной защите производился перерасчет трудовых пенсий, которые были повышены на 7,3% в среднем. Ежеквартально делались перерасчеты минимальных трудовых пенсий, социальных пенсий, а также надбавок и повышений к пенсиям в связи с изменением бюджета прожиточного минимума в среднем на душу населения.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Прогнозные показатели по уровню пенсионного обеспечения в области выполнены. На 1 июля 2014 г. среднемесячный размер пенсии составил 2 218,5 тыс. рублей (по республике – 2 330,3 тыс. рублей)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Минимальный размер трудовой пенсии на 1 июля 2014 г. равен 1 295,1 тыс. рублей (на 1 января 2013 г. -1 027,5 тыс. рублей).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Соотношение среднемесячного размера минимальной пенсии по возрасту и бюджета прожиточного минимума пенсионера на 1 июля 2014 г. сложилось на уровне 106,8% . По отношению к средней заработной плате в области средняя пенсия составляет 43,9%.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Расходы Фонда социальной защиты населения на выплату пенсий в первом полугодии 2014 г. достигли 5 трлн. рублей.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Результатом проводимой социально-экономической политики и принимаемых мер социальной поддержки за два последних года стало уменьшение доли получателей пенсий ниже бюджета прожиточного минимума с 10% (2012 г.) до 4,1% (2014 г.).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Относительно высоким поддерживался уровень пенсионного обеспечения льготных категорий граждан. Так на 1 июля 2014 г. средний размер пенсии по возрасту инвалидов войны составляет 4 млн. 136 тыс. рублей, средний размер пенсии инвалидов войны из числа военнослужащих составляет 3 млн. 156 тыс. рублей, членов семей погибших военнослужащих – 2 млн. 258 тыс. рублей.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области проживает 2 647 ветеранов Великой Отечественной войны.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Горрайисполкомами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ежегодно проводится обследование условий жизни ветеранов, лиц, пострадавших от последствий войн, одиноких и одиноко проживающих пожилых людей.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ходе обследования в 2014 году поступило 819 просьб. Уже выполнены 775 (94 %). Работа по выполнению оставшихся просьб будет завершена во втором полугодии.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Денежная помощь на оздоровление за неиспользованную путевку предоставлена в 2014 году 1 974 ветеранам (2,6 млрд. рублей)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Проводимые общественными объединениями ветеранов мероприятия в 2014 году профинансированы из средств местных бюджетов и внебюджетных источников в объеме 742 млн. рублей.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lastRenderedPageBreak/>
        <w:t>Принимались меры по обеспечению инвалидов техническими средствами социальной реабилитации. Колясок различных типов для инвалидов выделено 416 штук. Прокатом колясок в территориальных центрах воспользовались 556 человек.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Местными органами власти организовывалась трудовая занятость инвалидов.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На 1 июля 2014 г. в управлениях по труду, занятости и социальной защите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горрайисполкомов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на учете в качестве безработных состояло 218 инвалидов (на 1 января 2014 г.-320 инвалидов).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Для этой категории граждан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горрайисполкомами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бронировались рабочие места, организовывалась адаптация к трудовой деятельности.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2014 году забронировано 392 таких рабочих места.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течение первого полугодия 2014 г. управлениями было трудоустроено 130 инвалидов, в том числе 28 – в счет установленной брони. На профессиональное обучение направлено 26 инвалидов. Приняли участие в общественных работах за январь-июнь 2014 г. 58 инвалидов.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Нуждающиеся в социальной защите малообеспеченные семьи, инвалиды, пожилые граждане имели возможность получать различного рода социальные услуги через территориальные центры социального обслуживания населения (ТЦСОН).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61">
        <w:rPr>
          <w:rFonts w:ascii="Times New Roman" w:hAnsi="Times New Roman" w:cs="Times New Roman"/>
          <w:sz w:val="28"/>
          <w:szCs w:val="28"/>
        </w:rPr>
        <w:t>На учете в ТЦСОН области по состоянию на 1 июля 2014 г состояло 308,8 тыс. человек, из них 20,4 тыс. одиноких, 91,8 одиноко проживающих пожилых граждан, 10 174 одиноких и одиноко проживающих инвалида 1 и 2 групп, 3 252 молодых инвалида в возрасте до 31 года, 16 063 многодетных семьи, 25 217 неполных семей, 4 538 семей, в которых воспитываются</w:t>
      </w:r>
      <w:proofErr w:type="gramEnd"/>
      <w:r w:rsidRPr="006F2861">
        <w:rPr>
          <w:rFonts w:ascii="Times New Roman" w:hAnsi="Times New Roman" w:cs="Times New Roman"/>
          <w:sz w:val="28"/>
          <w:szCs w:val="28"/>
        </w:rPr>
        <w:t xml:space="preserve"> дети-инвалиды, 1 477 человек из числа детей-сирот и детей, оставшихся без попечения родителей - бывших воспитанников </w:t>
      </w:r>
      <w:proofErr w:type="spellStart"/>
      <w:r w:rsidRPr="006F2861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6F2861">
        <w:rPr>
          <w:rFonts w:ascii="Times New Roman" w:hAnsi="Times New Roman" w:cs="Times New Roman"/>
          <w:sz w:val="28"/>
          <w:szCs w:val="28"/>
        </w:rPr>
        <w:t xml:space="preserve"> учреждений, опекунских, приёмных семей.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Для молодых инвалидов в каждом ТЦСОН области предоставлялись услуги временного пребывания с целью проведения социально-бытовой и трудовой реабилитации. Этим видом обслуживания охвачены 541 человек, из них 88 инвалидов работают в 19 реабилитационно-трудовых мастерских ТЦСОН, остальные заняты в 120 кружках центров.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ТЦСОН оказывается помощь пожилым людям и инвалидам в выполнении работ разового характера. В январе-июне 2014 г. социальными работниками отделений были выполнены 20 869 разовых платных услуг по социально низким ценам для 6 181 гражданина.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 xml:space="preserve">Приоритетным в ТЦСОН среди других видов услуг являлось обслуживание пожилых граждан и инвалидов на дому. Социальные услуги, </w:t>
      </w:r>
      <w:r w:rsidRPr="006F2861">
        <w:rPr>
          <w:rFonts w:ascii="Times New Roman" w:hAnsi="Times New Roman" w:cs="Times New Roman"/>
          <w:sz w:val="28"/>
          <w:szCs w:val="28"/>
        </w:rPr>
        <w:lastRenderedPageBreak/>
        <w:t>предоставлялись нуждающимся гражданам бесплатно, а также на условиях частичной или полной оплаты, согласно тарифам, утвержденным облисполкомом.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На надомном обслуживании на 1 июля 2014 г. находилось 10 тыс. человек, из них одиноких пожилых – 3 765 человек. Каждый второй обслуживаемый гражданин в возрасте старше 80 лет. Платные услуги оказываются 9 636 гражданам, в том числе на условиях полной оплаты – 7 253, на условиях частичной оплаты – 2 383 гражданам, 364 человека – обслуживаются на безвозмездной основе.</w:t>
      </w:r>
    </w:p>
    <w:p w:rsidR="00DD4E13" w:rsidRPr="006F2861" w:rsidRDefault="00DD4E13" w:rsidP="006F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861">
        <w:rPr>
          <w:rFonts w:ascii="Times New Roman" w:hAnsi="Times New Roman" w:cs="Times New Roman"/>
          <w:sz w:val="28"/>
          <w:szCs w:val="28"/>
        </w:rPr>
        <w:t>В целях обеспечения нуждающихся граждан одеждой, обувью, продуктами питания, техническими средствами социальной реабилитации в территориальных центрах работали салоны «Милосердие». За истёкший период 2014 года гуманитарной помощью обеспечено 19 068 нуждающихся граждан.</w:t>
      </w:r>
    </w:p>
    <w:p w:rsidR="00DD4E13" w:rsidRPr="006F2861" w:rsidRDefault="00DD4E13" w:rsidP="006F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23" w:rsidRPr="006F2861" w:rsidRDefault="00654B23" w:rsidP="006F28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B23" w:rsidRPr="006F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13"/>
    <w:rsid w:val="00002646"/>
    <w:rsid w:val="00005313"/>
    <w:rsid w:val="000060A1"/>
    <w:rsid w:val="00007E9D"/>
    <w:rsid w:val="00010AE2"/>
    <w:rsid w:val="00010ED2"/>
    <w:rsid w:val="00011087"/>
    <w:rsid w:val="00014AD7"/>
    <w:rsid w:val="00025AE4"/>
    <w:rsid w:val="00032CF2"/>
    <w:rsid w:val="000350F4"/>
    <w:rsid w:val="000539DB"/>
    <w:rsid w:val="00054CE1"/>
    <w:rsid w:val="000631F9"/>
    <w:rsid w:val="00067888"/>
    <w:rsid w:val="00071D52"/>
    <w:rsid w:val="000751CE"/>
    <w:rsid w:val="000752E9"/>
    <w:rsid w:val="0007580C"/>
    <w:rsid w:val="00080226"/>
    <w:rsid w:val="00086F2C"/>
    <w:rsid w:val="000926B7"/>
    <w:rsid w:val="000938C6"/>
    <w:rsid w:val="00096A4D"/>
    <w:rsid w:val="000A045F"/>
    <w:rsid w:val="000A4D4F"/>
    <w:rsid w:val="000B0191"/>
    <w:rsid w:val="000B31BA"/>
    <w:rsid w:val="000C0196"/>
    <w:rsid w:val="000C15B9"/>
    <w:rsid w:val="000D36C2"/>
    <w:rsid w:val="000D7370"/>
    <w:rsid w:val="000D7478"/>
    <w:rsid w:val="000E3F6E"/>
    <w:rsid w:val="000E7748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4807"/>
    <w:rsid w:val="00155437"/>
    <w:rsid w:val="00157D4A"/>
    <w:rsid w:val="00165B78"/>
    <w:rsid w:val="00165C5D"/>
    <w:rsid w:val="00172F6D"/>
    <w:rsid w:val="0018239B"/>
    <w:rsid w:val="00183B89"/>
    <w:rsid w:val="00183ED6"/>
    <w:rsid w:val="001A797C"/>
    <w:rsid w:val="001A7BF1"/>
    <w:rsid w:val="001B4982"/>
    <w:rsid w:val="001C1062"/>
    <w:rsid w:val="001C485E"/>
    <w:rsid w:val="001C79C3"/>
    <w:rsid w:val="001C7C0E"/>
    <w:rsid w:val="001D20B7"/>
    <w:rsid w:val="001D389F"/>
    <w:rsid w:val="001E78D6"/>
    <w:rsid w:val="001E7BA3"/>
    <w:rsid w:val="001F393D"/>
    <w:rsid w:val="001F42C1"/>
    <w:rsid w:val="00207B06"/>
    <w:rsid w:val="00215322"/>
    <w:rsid w:val="002227E5"/>
    <w:rsid w:val="00227389"/>
    <w:rsid w:val="0023111A"/>
    <w:rsid w:val="00234E6B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1772"/>
    <w:rsid w:val="002B5930"/>
    <w:rsid w:val="002C1639"/>
    <w:rsid w:val="002C3BB5"/>
    <w:rsid w:val="002C5182"/>
    <w:rsid w:val="002D2FC6"/>
    <w:rsid w:val="002E0623"/>
    <w:rsid w:val="002E44E2"/>
    <w:rsid w:val="002F2B99"/>
    <w:rsid w:val="00306F95"/>
    <w:rsid w:val="00307033"/>
    <w:rsid w:val="00310356"/>
    <w:rsid w:val="00315C15"/>
    <w:rsid w:val="003253E0"/>
    <w:rsid w:val="00325ED2"/>
    <w:rsid w:val="0033140E"/>
    <w:rsid w:val="003374B4"/>
    <w:rsid w:val="00345083"/>
    <w:rsid w:val="003457F4"/>
    <w:rsid w:val="00354388"/>
    <w:rsid w:val="0035728C"/>
    <w:rsid w:val="00362D8C"/>
    <w:rsid w:val="00372B14"/>
    <w:rsid w:val="00374409"/>
    <w:rsid w:val="00381570"/>
    <w:rsid w:val="003918E4"/>
    <w:rsid w:val="00392F02"/>
    <w:rsid w:val="00393D82"/>
    <w:rsid w:val="003A3677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4CFE"/>
    <w:rsid w:val="004174D9"/>
    <w:rsid w:val="00417947"/>
    <w:rsid w:val="004204C1"/>
    <w:rsid w:val="00432B18"/>
    <w:rsid w:val="00432F3C"/>
    <w:rsid w:val="0044676B"/>
    <w:rsid w:val="004518DE"/>
    <w:rsid w:val="0045198E"/>
    <w:rsid w:val="00454A98"/>
    <w:rsid w:val="0046213F"/>
    <w:rsid w:val="00465A9A"/>
    <w:rsid w:val="00465D7C"/>
    <w:rsid w:val="004675BB"/>
    <w:rsid w:val="004715D9"/>
    <w:rsid w:val="00474982"/>
    <w:rsid w:val="00483CF6"/>
    <w:rsid w:val="0048586F"/>
    <w:rsid w:val="00486FAB"/>
    <w:rsid w:val="00497BC9"/>
    <w:rsid w:val="004A0C4F"/>
    <w:rsid w:val="004B3016"/>
    <w:rsid w:val="004C44D1"/>
    <w:rsid w:val="004C5256"/>
    <w:rsid w:val="004D7880"/>
    <w:rsid w:val="004E4EE1"/>
    <w:rsid w:val="004E7A27"/>
    <w:rsid w:val="004F73D6"/>
    <w:rsid w:val="0050278F"/>
    <w:rsid w:val="00505B7C"/>
    <w:rsid w:val="005068E7"/>
    <w:rsid w:val="00514CD9"/>
    <w:rsid w:val="00515F47"/>
    <w:rsid w:val="0051617F"/>
    <w:rsid w:val="00521AB9"/>
    <w:rsid w:val="005249CC"/>
    <w:rsid w:val="005256E0"/>
    <w:rsid w:val="005357C0"/>
    <w:rsid w:val="005373DF"/>
    <w:rsid w:val="00540572"/>
    <w:rsid w:val="00542BE7"/>
    <w:rsid w:val="0054646D"/>
    <w:rsid w:val="00553EAE"/>
    <w:rsid w:val="00555575"/>
    <w:rsid w:val="005607A9"/>
    <w:rsid w:val="00566C1F"/>
    <w:rsid w:val="00574F94"/>
    <w:rsid w:val="0057719D"/>
    <w:rsid w:val="00577FD5"/>
    <w:rsid w:val="00580B25"/>
    <w:rsid w:val="005846CB"/>
    <w:rsid w:val="0059640A"/>
    <w:rsid w:val="00596EAF"/>
    <w:rsid w:val="005B3340"/>
    <w:rsid w:val="005B3803"/>
    <w:rsid w:val="005B65CE"/>
    <w:rsid w:val="005C2EA7"/>
    <w:rsid w:val="005D09B6"/>
    <w:rsid w:val="005D361F"/>
    <w:rsid w:val="005D413A"/>
    <w:rsid w:val="005D47BA"/>
    <w:rsid w:val="005D48B6"/>
    <w:rsid w:val="005D7427"/>
    <w:rsid w:val="005E214F"/>
    <w:rsid w:val="005E61A9"/>
    <w:rsid w:val="005E6831"/>
    <w:rsid w:val="005F3053"/>
    <w:rsid w:val="00602E24"/>
    <w:rsid w:val="00607F22"/>
    <w:rsid w:val="006106BD"/>
    <w:rsid w:val="00616555"/>
    <w:rsid w:val="0062246E"/>
    <w:rsid w:val="00622DB5"/>
    <w:rsid w:val="006309A2"/>
    <w:rsid w:val="00640C3A"/>
    <w:rsid w:val="00653CE3"/>
    <w:rsid w:val="00654B23"/>
    <w:rsid w:val="00654EEE"/>
    <w:rsid w:val="0065559A"/>
    <w:rsid w:val="00657A55"/>
    <w:rsid w:val="006711D8"/>
    <w:rsid w:val="00671905"/>
    <w:rsid w:val="00673118"/>
    <w:rsid w:val="0067614D"/>
    <w:rsid w:val="00677952"/>
    <w:rsid w:val="006807B6"/>
    <w:rsid w:val="00680BDC"/>
    <w:rsid w:val="00686888"/>
    <w:rsid w:val="006A045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C4EB7"/>
    <w:rsid w:val="006C55CD"/>
    <w:rsid w:val="006D1EEE"/>
    <w:rsid w:val="006D6108"/>
    <w:rsid w:val="006D6E49"/>
    <w:rsid w:val="006E0B5F"/>
    <w:rsid w:val="006E146E"/>
    <w:rsid w:val="006E2BA9"/>
    <w:rsid w:val="006E66ED"/>
    <w:rsid w:val="006F006D"/>
    <w:rsid w:val="006F1DEE"/>
    <w:rsid w:val="006F2861"/>
    <w:rsid w:val="00701A0C"/>
    <w:rsid w:val="00720817"/>
    <w:rsid w:val="00721A26"/>
    <w:rsid w:val="0073654A"/>
    <w:rsid w:val="007374D3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7AC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2BD7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8D8"/>
    <w:rsid w:val="00834966"/>
    <w:rsid w:val="00834A38"/>
    <w:rsid w:val="008358A8"/>
    <w:rsid w:val="008401D6"/>
    <w:rsid w:val="00842299"/>
    <w:rsid w:val="0084597B"/>
    <w:rsid w:val="00847871"/>
    <w:rsid w:val="00851EAB"/>
    <w:rsid w:val="00852BDA"/>
    <w:rsid w:val="0085404D"/>
    <w:rsid w:val="00856C5E"/>
    <w:rsid w:val="008735AD"/>
    <w:rsid w:val="00876B9C"/>
    <w:rsid w:val="00881BB1"/>
    <w:rsid w:val="00896358"/>
    <w:rsid w:val="00897076"/>
    <w:rsid w:val="008A0D18"/>
    <w:rsid w:val="008B09BC"/>
    <w:rsid w:val="008B1754"/>
    <w:rsid w:val="008C0D55"/>
    <w:rsid w:val="008C193E"/>
    <w:rsid w:val="008C6B32"/>
    <w:rsid w:val="008D3994"/>
    <w:rsid w:val="008D62DB"/>
    <w:rsid w:val="008E76E6"/>
    <w:rsid w:val="008F5E44"/>
    <w:rsid w:val="008F7EFC"/>
    <w:rsid w:val="00901F79"/>
    <w:rsid w:val="00905358"/>
    <w:rsid w:val="009113C0"/>
    <w:rsid w:val="00922CF9"/>
    <w:rsid w:val="00930F3D"/>
    <w:rsid w:val="00933D08"/>
    <w:rsid w:val="009376CA"/>
    <w:rsid w:val="009408B4"/>
    <w:rsid w:val="00942637"/>
    <w:rsid w:val="0094376A"/>
    <w:rsid w:val="00943F61"/>
    <w:rsid w:val="00944379"/>
    <w:rsid w:val="0095144F"/>
    <w:rsid w:val="009527E1"/>
    <w:rsid w:val="009562AF"/>
    <w:rsid w:val="00956FE4"/>
    <w:rsid w:val="00966D7E"/>
    <w:rsid w:val="009815C5"/>
    <w:rsid w:val="00984253"/>
    <w:rsid w:val="00984A9F"/>
    <w:rsid w:val="00984FF7"/>
    <w:rsid w:val="00987671"/>
    <w:rsid w:val="00990D90"/>
    <w:rsid w:val="00992D33"/>
    <w:rsid w:val="009A2E2F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240"/>
    <w:rsid w:val="009F1C52"/>
    <w:rsid w:val="009F2323"/>
    <w:rsid w:val="009F6A5E"/>
    <w:rsid w:val="009F6E3B"/>
    <w:rsid w:val="00A008D2"/>
    <w:rsid w:val="00A03FA5"/>
    <w:rsid w:val="00A11A32"/>
    <w:rsid w:val="00A14171"/>
    <w:rsid w:val="00A21C5F"/>
    <w:rsid w:val="00A230CB"/>
    <w:rsid w:val="00A32968"/>
    <w:rsid w:val="00A33725"/>
    <w:rsid w:val="00A422B6"/>
    <w:rsid w:val="00A423C3"/>
    <w:rsid w:val="00A42737"/>
    <w:rsid w:val="00A46BA3"/>
    <w:rsid w:val="00A51C53"/>
    <w:rsid w:val="00A5266E"/>
    <w:rsid w:val="00A539E4"/>
    <w:rsid w:val="00A54759"/>
    <w:rsid w:val="00A66BBC"/>
    <w:rsid w:val="00A75333"/>
    <w:rsid w:val="00A801E9"/>
    <w:rsid w:val="00A9768E"/>
    <w:rsid w:val="00AB148A"/>
    <w:rsid w:val="00AB2216"/>
    <w:rsid w:val="00AB37C1"/>
    <w:rsid w:val="00AB72BF"/>
    <w:rsid w:val="00AC5C9A"/>
    <w:rsid w:val="00AC5CC3"/>
    <w:rsid w:val="00AC71DE"/>
    <w:rsid w:val="00AD0A2F"/>
    <w:rsid w:val="00AD7041"/>
    <w:rsid w:val="00AE1B87"/>
    <w:rsid w:val="00AE6AD6"/>
    <w:rsid w:val="00AF47D1"/>
    <w:rsid w:val="00AF7EFE"/>
    <w:rsid w:val="00B0509C"/>
    <w:rsid w:val="00B10C83"/>
    <w:rsid w:val="00B11ACE"/>
    <w:rsid w:val="00B150F5"/>
    <w:rsid w:val="00B16385"/>
    <w:rsid w:val="00B17C59"/>
    <w:rsid w:val="00B26EFB"/>
    <w:rsid w:val="00B36730"/>
    <w:rsid w:val="00B43B7D"/>
    <w:rsid w:val="00B43CF1"/>
    <w:rsid w:val="00B45667"/>
    <w:rsid w:val="00B553AE"/>
    <w:rsid w:val="00B5614E"/>
    <w:rsid w:val="00B567E3"/>
    <w:rsid w:val="00B63874"/>
    <w:rsid w:val="00B640DF"/>
    <w:rsid w:val="00B65E5E"/>
    <w:rsid w:val="00B708BA"/>
    <w:rsid w:val="00B7752F"/>
    <w:rsid w:val="00B85EDB"/>
    <w:rsid w:val="00B8700A"/>
    <w:rsid w:val="00B8736A"/>
    <w:rsid w:val="00BA747F"/>
    <w:rsid w:val="00BB5725"/>
    <w:rsid w:val="00BB5E77"/>
    <w:rsid w:val="00BD3CCA"/>
    <w:rsid w:val="00BD3ECA"/>
    <w:rsid w:val="00BD66BB"/>
    <w:rsid w:val="00BE694F"/>
    <w:rsid w:val="00C00045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300"/>
    <w:rsid w:val="00C33425"/>
    <w:rsid w:val="00C334E7"/>
    <w:rsid w:val="00C40962"/>
    <w:rsid w:val="00C44968"/>
    <w:rsid w:val="00C450A3"/>
    <w:rsid w:val="00C47B22"/>
    <w:rsid w:val="00C50B40"/>
    <w:rsid w:val="00C534E5"/>
    <w:rsid w:val="00C6665B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10E6"/>
    <w:rsid w:val="00CC2816"/>
    <w:rsid w:val="00CC6A8B"/>
    <w:rsid w:val="00CD2764"/>
    <w:rsid w:val="00CD590C"/>
    <w:rsid w:val="00CE778B"/>
    <w:rsid w:val="00CF497B"/>
    <w:rsid w:val="00D02254"/>
    <w:rsid w:val="00D13105"/>
    <w:rsid w:val="00D26A74"/>
    <w:rsid w:val="00D27AA3"/>
    <w:rsid w:val="00D27FD4"/>
    <w:rsid w:val="00D32F33"/>
    <w:rsid w:val="00D33543"/>
    <w:rsid w:val="00D447FF"/>
    <w:rsid w:val="00D45470"/>
    <w:rsid w:val="00D47C17"/>
    <w:rsid w:val="00D54406"/>
    <w:rsid w:val="00D56AFD"/>
    <w:rsid w:val="00D64C8A"/>
    <w:rsid w:val="00D64F6E"/>
    <w:rsid w:val="00D6691C"/>
    <w:rsid w:val="00D67D83"/>
    <w:rsid w:val="00D71864"/>
    <w:rsid w:val="00D7195C"/>
    <w:rsid w:val="00D738B4"/>
    <w:rsid w:val="00D74BD2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3E83"/>
    <w:rsid w:val="00DC5D32"/>
    <w:rsid w:val="00DD2D1D"/>
    <w:rsid w:val="00DD4E13"/>
    <w:rsid w:val="00DE4342"/>
    <w:rsid w:val="00DE60A8"/>
    <w:rsid w:val="00DE783F"/>
    <w:rsid w:val="00DF0748"/>
    <w:rsid w:val="00DF3281"/>
    <w:rsid w:val="00DF35C6"/>
    <w:rsid w:val="00DF6BB2"/>
    <w:rsid w:val="00E0502A"/>
    <w:rsid w:val="00E1219C"/>
    <w:rsid w:val="00E133A9"/>
    <w:rsid w:val="00E15A93"/>
    <w:rsid w:val="00E1647D"/>
    <w:rsid w:val="00E16D78"/>
    <w:rsid w:val="00E17890"/>
    <w:rsid w:val="00E2094E"/>
    <w:rsid w:val="00E3495F"/>
    <w:rsid w:val="00E457C7"/>
    <w:rsid w:val="00E457F5"/>
    <w:rsid w:val="00E4704F"/>
    <w:rsid w:val="00E51392"/>
    <w:rsid w:val="00E5358B"/>
    <w:rsid w:val="00E57D66"/>
    <w:rsid w:val="00E62246"/>
    <w:rsid w:val="00E7590B"/>
    <w:rsid w:val="00E80604"/>
    <w:rsid w:val="00E82401"/>
    <w:rsid w:val="00E82F91"/>
    <w:rsid w:val="00E979E8"/>
    <w:rsid w:val="00EA1BDD"/>
    <w:rsid w:val="00EA2D50"/>
    <w:rsid w:val="00EA4325"/>
    <w:rsid w:val="00EB251C"/>
    <w:rsid w:val="00EB4132"/>
    <w:rsid w:val="00EB561D"/>
    <w:rsid w:val="00EC4945"/>
    <w:rsid w:val="00EC5778"/>
    <w:rsid w:val="00EC7174"/>
    <w:rsid w:val="00EC7D98"/>
    <w:rsid w:val="00ED0DC3"/>
    <w:rsid w:val="00ED1A17"/>
    <w:rsid w:val="00ED1E05"/>
    <w:rsid w:val="00EF3D77"/>
    <w:rsid w:val="00F0238D"/>
    <w:rsid w:val="00F0242E"/>
    <w:rsid w:val="00F062B0"/>
    <w:rsid w:val="00F21E92"/>
    <w:rsid w:val="00F22762"/>
    <w:rsid w:val="00F27F2C"/>
    <w:rsid w:val="00F312E0"/>
    <w:rsid w:val="00F33E4D"/>
    <w:rsid w:val="00F41293"/>
    <w:rsid w:val="00F43221"/>
    <w:rsid w:val="00F433E2"/>
    <w:rsid w:val="00F54F93"/>
    <w:rsid w:val="00F57E32"/>
    <w:rsid w:val="00F60289"/>
    <w:rsid w:val="00F6306D"/>
    <w:rsid w:val="00F71FFA"/>
    <w:rsid w:val="00F74DF2"/>
    <w:rsid w:val="00F76591"/>
    <w:rsid w:val="00F82572"/>
    <w:rsid w:val="00F85269"/>
    <w:rsid w:val="00F870CA"/>
    <w:rsid w:val="00F90F4F"/>
    <w:rsid w:val="00F91E94"/>
    <w:rsid w:val="00FA3C25"/>
    <w:rsid w:val="00FA4F09"/>
    <w:rsid w:val="00FB2312"/>
    <w:rsid w:val="00FC2581"/>
    <w:rsid w:val="00FD185E"/>
    <w:rsid w:val="00FD1BC0"/>
    <w:rsid w:val="00FD4BD4"/>
    <w:rsid w:val="00FD59FA"/>
    <w:rsid w:val="00FD60DE"/>
    <w:rsid w:val="00FE28CC"/>
    <w:rsid w:val="00FE4AAD"/>
    <w:rsid w:val="00FF00D4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3</cp:revision>
  <dcterms:created xsi:type="dcterms:W3CDTF">2014-08-27T12:07:00Z</dcterms:created>
  <dcterms:modified xsi:type="dcterms:W3CDTF">2014-09-17T11:00:00Z</dcterms:modified>
</cp:coreProperties>
</file>